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560" w:lineRule="exact"/>
        <w:jc w:val="center"/>
        <w:outlineLvl w:val="0"/>
        <w:rPr>
          <w:rFonts w:ascii="方正小标宋简体" w:hAnsi="宋体" w:eastAsia="方正小标宋简体"/>
          <w:color w:val="000000"/>
          <w:sz w:val="72"/>
          <w:szCs w:val="72"/>
        </w:rPr>
      </w:pPr>
      <w:bookmarkStart w:id="0" w:name="_Toc15306267"/>
    </w:p>
    <w:p>
      <w:pPr>
        <w:pageBreakBefore w:val="0"/>
        <w:kinsoku/>
        <w:wordWrap/>
        <w:overflowPunct/>
        <w:topLinePunct w:val="0"/>
        <w:bidi w:val="0"/>
        <w:spacing w:line="560" w:lineRule="exact"/>
        <w:jc w:val="center"/>
        <w:outlineLvl w:val="0"/>
        <w:rPr>
          <w:rFonts w:ascii="方正小标宋简体" w:hAnsi="宋体" w:eastAsia="方正小标宋简体"/>
          <w:color w:val="000000"/>
          <w:sz w:val="72"/>
          <w:szCs w:val="72"/>
        </w:rPr>
      </w:pPr>
    </w:p>
    <w:p>
      <w:pPr>
        <w:pageBreakBefore w:val="0"/>
        <w:kinsoku/>
        <w:wordWrap/>
        <w:overflowPunct/>
        <w:topLinePunct w:val="0"/>
        <w:bidi w:val="0"/>
        <w:spacing w:line="56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spacing w:line="800" w:lineRule="exact"/>
        <w:jc w:val="center"/>
        <w:textAlignment w:val="auto"/>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宋体" w:eastAsia="方正小标宋简体"/>
          <w:color w:val="000000"/>
          <w:sz w:val="72"/>
          <w:szCs w:val="72"/>
          <w:lang w:eastAsia="zh-CN"/>
        </w:rPr>
      </w:pPr>
      <w:bookmarkStart w:id="1" w:name="_Toc15378441"/>
      <w:bookmarkStart w:id="2" w:name="_Toc15396475"/>
      <w:bookmarkStart w:id="3" w:name="_Toc15377193"/>
      <w:bookmarkStart w:id="4" w:name="_Toc23231"/>
      <w:bookmarkStart w:id="5" w:name="_Toc15396597"/>
      <w:bookmarkStart w:id="6" w:name="_Toc15377425"/>
      <w:r>
        <w:rPr>
          <w:rFonts w:hint="eastAsia" w:ascii="方正小标宋简体" w:hAnsi="宋体" w:eastAsia="方正小标宋简体"/>
          <w:color w:val="000000"/>
          <w:sz w:val="72"/>
          <w:szCs w:val="72"/>
          <w:lang w:eastAsia="zh-CN"/>
        </w:rPr>
        <w:t>2019年度</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宋体" w:eastAsia="方正小标宋简体"/>
          <w:color w:val="000000"/>
          <w:sz w:val="72"/>
          <w:szCs w:val="72"/>
        </w:rPr>
      </w:pPr>
      <w:bookmarkStart w:id="7" w:name="_Toc15377426"/>
      <w:bookmarkStart w:id="8" w:name="_Toc19511"/>
      <w:bookmarkStart w:id="9" w:name="_Toc15378442"/>
      <w:bookmarkStart w:id="10" w:name="_Toc15396598"/>
      <w:bookmarkStart w:id="11" w:name="_Toc15377194"/>
      <w:bookmarkStart w:id="12" w:name="_Toc15396476"/>
      <w:r>
        <w:rPr>
          <w:rFonts w:hint="eastAsia" w:ascii="方正小标宋简体" w:hAnsi="宋体" w:eastAsia="方正小标宋简体"/>
          <w:color w:val="000000"/>
          <w:sz w:val="72"/>
          <w:szCs w:val="72"/>
          <w:lang w:eastAsia="zh-CN"/>
        </w:rPr>
        <w:t>广元市</w:t>
      </w:r>
      <w:bookmarkEnd w:id="0"/>
      <w:bookmarkStart w:id="13" w:name="_Toc15306268"/>
      <w:r>
        <w:rPr>
          <w:rFonts w:hint="eastAsia" w:ascii="方正小标宋简体" w:hAnsi="宋体" w:eastAsia="方正小标宋简体"/>
          <w:color w:val="000000"/>
          <w:sz w:val="72"/>
          <w:szCs w:val="72"/>
          <w:lang w:eastAsia="zh-CN"/>
        </w:rPr>
        <w:t>档案馆</w:t>
      </w: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bookmarkEnd w:id="13"/>
    </w:p>
    <w:p>
      <w:pPr>
        <w:pageBreakBefore w:val="0"/>
        <w:widowControl/>
        <w:kinsoku/>
        <w:wordWrap/>
        <w:overflowPunct/>
        <w:topLinePunct w:val="0"/>
        <w:bidi w:val="0"/>
        <w:spacing w:line="560" w:lineRule="exact"/>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pageBreakBefore w:val="0"/>
        <w:widowControl/>
        <w:kinsoku/>
        <w:wordWrap/>
        <w:overflowPunct/>
        <w:topLinePunct w:val="0"/>
        <w:bidi w:val="0"/>
        <w:spacing w:line="560" w:lineRule="exact"/>
        <w:jc w:val="center"/>
        <w:rPr>
          <w:rFonts w:hint="eastAsia" w:ascii="黑体" w:hAnsi="黑体" w:eastAsia="黑体"/>
          <w:b/>
          <w:bCs/>
          <w:color w:val="000000"/>
          <w:sz w:val="36"/>
          <w:szCs w:val="36"/>
        </w:rPr>
      </w:pPr>
      <w:r>
        <w:rPr>
          <w:rFonts w:hint="eastAsia"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hint="eastAsia" w:ascii="黑体" w:hAnsi="黑体" w:eastAsia="黑体"/>
          <w:b/>
          <w:bCs/>
          <w:color w:val="000000"/>
          <w:sz w:val="48"/>
          <w:szCs w:val="48"/>
        </w:rPr>
        <w:t>录</w:t>
      </w:r>
    </w:p>
    <w:p>
      <w:pPr>
        <w:pStyle w:val="2"/>
        <w:rPr>
          <w:rFonts w:hint="eastAsia"/>
        </w:rPr>
      </w:pPr>
    </w:p>
    <w:p>
      <w:pPr>
        <w:pStyle w:val="2"/>
        <w:ind w:firstLine="1928" w:firstLineChars="600"/>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eastAsia="zh-CN"/>
        </w:rPr>
        <w:t>公开时间：</w:t>
      </w:r>
      <w:r>
        <w:rPr>
          <w:rFonts w:hint="eastAsia" w:ascii="仿宋_GB2312" w:hAnsi="仿宋_GB2312" w:eastAsia="仿宋_GB2312" w:cs="仿宋_GB2312"/>
          <w:b/>
          <w:bCs/>
          <w:color w:val="000000"/>
          <w:sz w:val="32"/>
          <w:szCs w:val="32"/>
          <w:lang w:val="en-US" w:eastAsia="zh-CN"/>
        </w:rPr>
        <w:t>2020年9月18</w:t>
      </w:r>
      <w:bookmarkStart w:id="119" w:name="_GoBack"/>
      <w:bookmarkEnd w:id="119"/>
      <w:r>
        <w:rPr>
          <w:rFonts w:hint="eastAsia" w:ascii="仿宋_GB2312" w:hAnsi="仿宋_GB2312" w:eastAsia="仿宋_GB2312" w:cs="仿宋_GB2312"/>
          <w:b/>
          <w:bCs/>
          <w:color w:val="000000"/>
          <w:sz w:val="32"/>
          <w:szCs w:val="32"/>
          <w:lang w:val="en-US" w:eastAsia="zh-CN"/>
        </w:rPr>
        <w:t>日</w:t>
      </w:r>
    </w:p>
    <w:p>
      <w:pPr>
        <w:pStyle w:val="12"/>
        <w:keepNext w:val="0"/>
        <w:keepLines w:val="0"/>
        <w:pageBreakBefore w:val="0"/>
        <w:tabs>
          <w:tab w:val="right" w:leader="dot" w:pos="8732"/>
          <w:tab w:val="clear" w:pos="8296"/>
        </w:tabs>
        <w:kinsoku/>
        <w:wordWrap/>
        <w:overflowPunct/>
        <w:topLinePunct w:val="0"/>
        <w:autoSpaceDE/>
        <w:autoSpaceDN/>
        <w:bidi w:val="0"/>
        <w:adjustRightInd/>
        <w:snapToGrid/>
        <w:spacing w:line="360" w:lineRule="auto"/>
        <w:ind w:leftChars="200"/>
        <w:textAlignment w:val="auto"/>
      </w:pPr>
      <w:r>
        <w:fldChar w:fldCharType="begin"/>
      </w:r>
      <w:r>
        <w:instrText xml:space="preserve">TOC \o "1-3" \h \u </w:instrText>
      </w:r>
      <w:r>
        <w:fldChar w:fldCharType="separate"/>
      </w:r>
    </w:p>
    <w:p>
      <w:pPr>
        <w:pStyle w:val="12"/>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_Toc7139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第一部分 部门概况</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_Toc7139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4</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_Toc20309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一、基本职能及主要工作</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_Toc20309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4</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30"/>
          <w:szCs w:val="30"/>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_Toc2584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lang w:val="en-US" w:eastAsia="zh-CN" w:bidi="ar-SA"/>
        </w:rPr>
        <w:t>二、机构设置</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_Toc2584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8</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_Toc25940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第二部分 2019年度部门决算情况说明</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_Toc25940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9</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_Toc10745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一、收入支出决算总体情况说明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_Toc10745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_Toc11307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二、收入决算情况说明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_Toc11307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_Toc30628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三、支出决算情况说明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_Toc30628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10</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_Toc3307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四、财政拨款收入支出决算总体情况说明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_Toc3307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10</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_Toc725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五、一般公共预算财政拨款支出决算情况说明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_Toc725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11</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_Toc26889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28"/>
          <w:lang w:val="en-US" w:eastAsia="zh-CN" w:bidi="ar-SA"/>
        </w:rPr>
        <w:t>六、一般公共预算财政拨款基本支出决算情况说明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_Toc26889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14</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_Toc28979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28"/>
          <w:lang w:val="en-US" w:eastAsia="zh-CN" w:bidi="ar-SA"/>
        </w:rPr>
        <w:t>七、“三公”经费财政拨款支出决算情况说明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_Toc28979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15</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_Toc30029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28"/>
          <w:lang w:val="en-US" w:eastAsia="zh-CN" w:bidi="ar-SA"/>
        </w:rPr>
        <w:t>八、政府性基金预算支出决算情况说明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_Toc30029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16</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_Toc13807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28"/>
          <w:lang w:val="en-US" w:eastAsia="zh-CN" w:bidi="ar-SA"/>
        </w:rPr>
        <w:t>九、国有资本经营预算支出决算情况说明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_Toc13807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_Toc27044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28"/>
          <w:lang w:val="en-US" w:eastAsia="zh-CN" w:bidi="ar-SA"/>
        </w:rPr>
        <w:t>十、其他重要事项的情况说明</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_Toc27044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17</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_Toc15869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第三部分 名词解释</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_Toc15869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32</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fldChar w:fldCharType="end"/>
      </w:r>
    </w:p>
    <w:p>
      <w:pPr>
        <w:pStyle w:val="12"/>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_Toc30838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第四部分 附件</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_Toc30838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35</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fldChar w:fldCharType="end"/>
      </w:r>
    </w:p>
    <w:p>
      <w:pPr>
        <w:pStyle w:val="12"/>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_Toc17147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第五部分 附表</w:t>
      </w:r>
      <w:r>
        <w:rPr>
          <w:rFonts w:hint="eastAsia" w:ascii="黑体" w:hAnsi="黑体" w:eastAsia="黑体" w:cs="黑体"/>
          <w:b w:val="0"/>
          <w:bCs w:val="0"/>
          <w:sz w:val="32"/>
          <w:szCs w:val="32"/>
        </w:rPr>
        <w:tab/>
      </w: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PAGEREF _Toc17147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39</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_Toc26505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一、收入支出决算总表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_Toc26505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_Toc640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二、收入决算表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_Toc640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_Toc21480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三、支出决算表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_Toc21480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_Toc1082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四、财政拨款收入支出决算总表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_Toc1082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_Toc9041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五、财政拨款支出决算明细表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_Toc9041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_Toc7383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六、一般公共预算财政拨款支出决算表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_Toc7383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_Toc14104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七、一般公共预算财政拨款支出决算明细表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_Toc14104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_Toc29254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八、一般公共预算财政拨款基本支出决算表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_Toc29254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_Toc1944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九、一般公共预算财政拨款项目支出决算表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_Toc1944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_Toc1281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十、一般公共预算财政拨款“三公”经费支出决算表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_Toc1281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_Toc24287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十一、政府性基金预算财政拨款收入支出决算表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_Toc24287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_Toc31847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十二、政府性基金预算财政拨款“三公”经费支出决算表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_Toc31847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3"/>
        <w:keepNext w:val="0"/>
        <w:keepLines w:val="0"/>
        <w:pageBreakBefore w:val="0"/>
        <w:widowControl w:val="0"/>
        <w:tabs>
          <w:tab w:val="right" w:leader="dot" w:pos="8732"/>
          <w:tab w:val="clear" w:pos="8296"/>
        </w:tabs>
        <w:kinsoku/>
        <w:wordWrap/>
        <w:overflowPunct/>
        <w:topLinePunct w:val="0"/>
        <w:autoSpaceDE/>
        <w:autoSpaceDN/>
        <w:bidi w:val="0"/>
        <w:adjustRightInd/>
        <w:snapToGrid/>
        <w:spacing w:line="360" w:lineRule="auto"/>
        <w:ind w:leftChars="4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_Toc32276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十三、国有资本经营预算支出决算表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_Toc32276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39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keepNext w:val="0"/>
        <w:keepLines w:val="0"/>
        <w:pageBreakBefore w:val="0"/>
        <w:kinsoku/>
        <w:wordWrap/>
        <w:overflowPunct/>
        <w:topLinePunct w:val="0"/>
        <w:autoSpaceDE/>
        <w:autoSpaceDN/>
        <w:bidi w:val="0"/>
        <w:adjustRightInd/>
        <w:snapToGrid/>
        <w:spacing w:line="360" w:lineRule="auto"/>
        <w:ind w:leftChars="200"/>
        <w:textAlignment w:val="auto"/>
      </w:pPr>
      <w:r>
        <w:fldChar w:fldCharType="end"/>
      </w:r>
    </w:p>
    <w:p>
      <w:pPr>
        <w:pStyle w:val="12"/>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仿宋_GB2312" w:hAnsi="仿宋_GB2312" w:eastAsia="仿宋_GB2312" w:cs="仿宋_GB2312"/>
          <w:sz w:val="32"/>
          <w:szCs w:val="32"/>
        </w:rPr>
      </w:pPr>
    </w:p>
    <w:p>
      <w:pPr>
        <w:pStyle w:val="4"/>
        <w:pageBreakBefore w:val="0"/>
        <w:kinsoku/>
        <w:wordWrap/>
        <w:overflowPunct/>
        <w:topLinePunct w:val="0"/>
        <w:bidi w:val="0"/>
        <w:spacing w:line="560" w:lineRule="exact"/>
        <w:jc w:val="center"/>
        <w:rPr>
          <w:rFonts w:hint="eastAsia" w:ascii="黑体" w:hAnsi="黑体" w:eastAsia="黑体" w:cs="黑体"/>
          <w:b/>
          <w:bCs w:val="0"/>
        </w:rPr>
      </w:pPr>
      <w:bookmarkStart w:id="14" w:name="_Toc15377196"/>
      <w:bookmarkStart w:id="15" w:name="_Toc15396599"/>
    </w:p>
    <w:p>
      <w:pPr>
        <w:rPr>
          <w:rFonts w:hint="eastAsia" w:ascii="黑体" w:hAnsi="黑体" w:eastAsia="黑体" w:cs="黑体"/>
          <w:b/>
          <w:bCs w:val="0"/>
        </w:rPr>
      </w:pPr>
    </w:p>
    <w:p>
      <w:pPr>
        <w:pStyle w:val="2"/>
        <w:rPr>
          <w:rFonts w:hint="eastAsia" w:ascii="黑体" w:hAnsi="黑体" w:eastAsia="黑体" w:cs="黑体"/>
          <w:b/>
          <w:bCs w:val="0"/>
        </w:rPr>
      </w:pPr>
    </w:p>
    <w:p>
      <w:pPr>
        <w:pStyle w:val="4"/>
        <w:pageBreakBefore w:val="0"/>
        <w:kinsoku/>
        <w:wordWrap/>
        <w:overflowPunct/>
        <w:topLinePunct w:val="0"/>
        <w:bidi w:val="0"/>
        <w:spacing w:line="560" w:lineRule="exact"/>
        <w:jc w:val="center"/>
        <w:rPr>
          <w:rFonts w:hint="eastAsia" w:ascii="仿宋_GB2312" w:hAnsi="仿宋_GB2312" w:eastAsia="仿宋_GB2312" w:cs="仿宋_GB2312"/>
          <w:b/>
          <w:bCs w:val="0"/>
          <w:color w:val="000000"/>
          <w:sz w:val="32"/>
          <w:szCs w:val="32"/>
        </w:rPr>
      </w:pPr>
      <w:bookmarkStart w:id="16" w:name="_Toc7139"/>
      <w:r>
        <w:rPr>
          <w:rFonts w:hint="eastAsia" w:ascii="黑体" w:hAnsi="黑体" w:eastAsia="黑体" w:cs="黑体"/>
          <w:b/>
          <w:bCs w:val="0"/>
        </w:rPr>
        <w:t xml:space="preserve">第一部分 </w:t>
      </w:r>
      <w:r>
        <w:rPr>
          <w:rStyle w:val="27"/>
          <w:rFonts w:hint="eastAsia" w:ascii="黑体" w:hAnsi="黑体" w:eastAsia="黑体" w:cs="黑体"/>
          <w:b/>
          <w:bCs w:val="0"/>
        </w:rPr>
        <w:t>部门概况</w:t>
      </w:r>
      <w:bookmarkEnd w:id="14"/>
      <w:bookmarkEnd w:id="15"/>
      <w:bookmarkEnd w:id="16"/>
    </w:p>
    <w:p>
      <w:pPr>
        <w:pStyle w:val="5"/>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840" w:leftChars="0"/>
        <w:textAlignment w:val="auto"/>
        <w:rPr>
          <w:rFonts w:hint="eastAsia" w:ascii="黑体" w:hAnsi="黑体" w:eastAsia="黑体" w:cs="黑体"/>
          <w:b/>
          <w:bCs w:val="0"/>
          <w:color w:val="000000"/>
          <w:sz w:val="32"/>
          <w:szCs w:val="32"/>
        </w:rPr>
      </w:pPr>
      <w:bookmarkStart w:id="17" w:name="_Toc15377197"/>
      <w:bookmarkStart w:id="18" w:name="_Toc20309"/>
      <w:bookmarkStart w:id="19" w:name="_Toc15396600"/>
      <w:r>
        <w:rPr>
          <w:rFonts w:hint="eastAsia" w:ascii="黑体" w:hAnsi="黑体" w:eastAsia="黑体" w:cs="黑体"/>
          <w:b/>
          <w:bCs w:val="0"/>
          <w:color w:val="000000"/>
        </w:rPr>
        <w:t>基</w:t>
      </w:r>
      <w:r>
        <w:rPr>
          <w:rStyle w:val="28"/>
          <w:rFonts w:hint="eastAsia" w:ascii="黑体" w:hAnsi="黑体" w:eastAsia="黑体" w:cs="黑体"/>
          <w:b/>
          <w:bCs w:val="0"/>
        </w:rPr>
        <w:t>本职能及主要工作</w:t>
      </w:r>
      <w:bookmarkEnd w:id="17"/>
      <w:bookmarkEnd w:id="18"/>
      <w:bookmarkEnd w:id="19"/>
      <w:bookmarkStart w:id="20" w:name="_Toc15378445"/>
      <w:bookmarkStart w:id="21" w:name="_Toc15377198"/>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b/>
          <w:bCs/>
          <w:color w:val="000000"/>
          <w:sz w:val="32"/>
          <w:szCs w:val="32"/>
        </w:rPr>
      </w:pPr>
      <w:bookmarkStart w:id="22" w:name="_Toc24977"/>
      <w:r>
        <w:rPr>
          <w:rFonts w:hint="eastAsia" w:ascii="楷体" w:hAnsi="楷体" w:eastAsia="楷体" w:cs="楷体"/>
          <w:b/>
          <w:bCs/>
          <w:color w:val="000000"/>
          <w:sz w:val="32"/>
          <w:szCs w:val="32"/>
        </w:rPr>
        <w:t>（一）主要职能</w:t>
      </w:r>
      <w:bookmarkEnd w:id="20"/>
      <w:bookmarkEnd w:id="21"/>
      <w:bookmarkEnd w:id="22"/>
      <w:bookmarkStart w:id="23" w:name="_Toc15377199"/>
      <w:bookmarkStart w:id="24" w:name="_Toc15378446"/>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对县（区）档馆业务进行指导。</w:t>
      </w:r>
      <w:r>
        <w:rPr>
          <w:rFonts w:hint="eastAsia" w:ascii="仿宋_GB2312" w:hAnsi="仿宋_GB2312" w:eastAsia="仿宋_GB2312" w:cs="仿宋_GB2312"/>
          <w:sz w:val="32"/>
          <w:szCs w:val="32"/>
        </w:rPr>
        <w:t>组织开展档案学术研究、馆际合作和业务交流。完成市委、市政府交办的其他任务。</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b/>
          <w:bCs/>
          <w:color w:val="000000"/>
          <w:sz w:val="32"/>
          <w:szCs w:val="32"/>
        </w:rPr>
      </w:pPr>
      <w:bookmarkStart w:id="25" w:name="_Toc10580"/>
      <w:r>
        <w:rPr>
          <w:rFonts w:hint="eastAsia" w:ascii="楷体" w:hAnsi="楷体" w:eastAsia="楷体" w:cs="楷体"/>
          <w:b/>
          <w:bCs/>
          <w:color w:val="000000"/>
          <w:sz w:val="32"/>
          <w:szCs w:val="32"/>
        </w:rPr>
        <w:t>（二）2019年重点工作完成情况</w:t>
      </w:r>
      <w:bookmarkEnd w:id="23"/>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1、坚持以政治建设为统领，持续深入学习贯彻习近平新时代中国特色社会主义思想</w:t>
      </w:r>
      <w:r>
        <w:rPr>
          <w:rFonts w:hint="eastAsia" w:ascii="仿宋_GB2312" w:hAnsi="仿宋_GB2312" w:eastAsia="仿宋_GB2312" w:cs="仿宋_GB2312"/>
          <w:bCs/>
          <w:color w:val="000000"/>
          <w:kern w:val="0"/>
          <w:sz w:val="32"/>
          <w:szCs w:val="32"/>
          <w:lang w:val="en-US" w:eastAsia="zh-CN" w:bidi="ar-SA"/>
        </w:rPr>
        <w:t>。一是抓实理论学习。二是严守政治纪律和政治规矩。</w:t>
      </w:r>
      <w:r>
        <w:rPr>
          <w:rFonts w:hint="eastAsia" w:ascii="仿宋_GB2312" w:hAnsi="仿宋_GB2312" w:eastAsia="仿宋_GB2312" w:cs="仿宋_GB2312"/>
          <w:bCs/>
          <w:color w:val="000000"/>
          <w:kern w:val="0"/>
          <w:sz w:val="32"/>
          <w:szCs w:val="32"/>
          <w:lang w:val="ru-RU" w:eastAsia="zh-CN" w:bidi="ar-SA"/>
        </w:rPr>
        <w:t>三是扎实推进“不忘初心、牢记使命”主题教育</w:t>
      </w:r>
      <w:r>
        <w:rPr>
          <w:rFonts w:hint="eastAsia" w:ascii="仿宋_GB2312" w:hAnsi="仿宋_GB2312" w:eastAsia="仿宋_GB2312" w:cs="仿宋_GB2312"/>
          <w:bCs/>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2、坚持以改革创新为动力，严格落实机改各项工作部署。</w:t>
      </w:r>
      <w:r>
        <w:rPr>
          <w:rFonts w:hint="eastAsia" w:ascii="仿宋_GB2312" w:hAnsi="仿宋_GB2312" w:eastAsia="仿宋_GB2312" w:cs="仿宋_GB2312"/>
          <w:bCs/>
          <w:color w:val="000000"/>
          <w:kern w:val="0"/>
          <w:sz w:val="32"/>
          <w:szCs w:val="32"/>
          <w:lang w:val="en-US" w:eastAsia="zh-CN" w:bidi="ar-SA"/>
        </w:rPr>
        <w:t>严格按照市委机构改革总部署和市委编委调整方案要求，顺利完成局馆职能划转、人员转隶、内设机构和人员配置等工作。及时与市委办沟通协调，积极研究解决接续运转过程中出现的问题，进一步理顺局馆职能职责。组织干部职工认真学习市委市政府有关机构改革的文件精神，确保人员思想稳定，工作正常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3、坚持以服务大局为主线，不断增强档案服务能力。</w:t>
      </w:r>
      <w:r>
        <w:rPr>
          <w:rFonts w:hint="eastAsia" w:ascii="仿宋_GB2312" w:hAnsi="仿宋_GB2312" w:eastAsia="仿宋_GB2312" w:cs="仿宋_GB2312"/>
          <w:bCs/>
          <w:color w:val="000000"/>
          <w:kern w:val="0"/>
          <w:sz w:val="32"/>
          <w:szCs w:val="32"/>
          <w:lang w:val="en-US" w:eastAsia="zh-CN" w:bidi="ar-SA"/>
        </w:rPr>
        <w:t>一是积极发挥档案服务大局作用。</w:t>
      </w:r>
      <w:r>
        <w:rPr>
          <w:rFonts w:hint="eastAsia" w:ascii="仿宋_GB2312" w:hAnsi="仿宋_GB2312" w:eastAsia="仿宋_GB2312" w:cs="仿宋_GB2312"/>
          <w:bCs/>
          <w:color w:val="000000"/>
          <w:kern w:val="0"/>
          <w:sz w:val="32"/>
          <w:szCs w:val="32"/>
          <w:lang w:val="ru-RU" w:eastAsia="zh-CN" w:bidi="ar-SA"/>
        </w:rPr>
        <w:t>主动做好</w:t>
      </w:r>
      <w:r>
        <w:rPr>
          <w:rFonts w:hint="eastAsia" w:ascii="仿宋_GB2312" w:hAnsi="仿宋_GB2312" w:eastAsia="仿宋_GB2312" w:cs="仿宋_GB2312"/>
          <w:bCs/>
          <w:color w:val="000000"/>
          <w:kern w:val="0"/>
          <w:sz w:val="32"/>
          <w:szCs w:val="32"/>
          <w:lang w:val="en-US" w:eastAsia="zh-CN" w:bidi="ar-SA"/>
        </w:rPr>
        <w:t>省运会</w:t>
      </w:r>
      <w:r>
        <w:rPr>
          <w:rFonts w:hint="eastAsia" w:ascii="仿宋_GB2312" w:hAnsi="仿宋_GB2312" w:eastAsia="仿宋_GB2312" w:cs="仿宋_GB2312"/>
          <w:bCs/>
          <w:color w:val="000000"/>
          <w:kern w:val="0"/>
          <w:sz w:val="32"/>
          <w:szCs w:val="32"/>
          <w:lang w:val="ru-RU" w:eastAsia="zh-CN" w:bidi="ar-SA"/>
        </w:rPr>
        <w:t>等重大活动</w:t>
      </w:r>
      <w:r>
        <w:rPr>
          <w:rFonts w:hint="eastAsia" w:ascii="仿宋_GB2312" w:hAnsi="仿宋_GB2312" w:eastAsia="仿宋_GB2312" w:cs="仿宋_GB2312"/>
          <w:bCs/>
          <w:color w:val="000000"/>
          <w:kern w:val="0"/>
          <w:sz w:val="32"/>
          <w:szCs w:val="32"/>
          <w:lang w:val="en-US" w:eastAsia="zh-CN" w:bidi="ar-SA"/>
        </w:rPr>
        <w:t>档案服务工作。</w:t>
      </w:r>
      <w:r>
        <w:rPr>
          <w:rFonts w:hint="eastAsia" w:ascii="仿宋_GB2312" w:hAnsi="仿宋_GB2312" w:eastAsia="仿宋_GB2312" w:cs="仿宋_GB2312"/>
          <w:bCs/>
          <w:color w:val="000000"/>
          <w:kern w:val="0"/>
          <w:sz w:val="32"/>
          <w:szCs w:val="32"/>
          <w:lang w:val="ru-RU" w:eastAsia="zh-CN" w:bidi="ar-SA"/>
        </w:rPr>
        <w:t>严格按照机改档案处置要求，</w:t>
      </w:r>
      <w:r>
        <w:rPr>
          <w:rFonts w:hint="eastAsia" w:ascii="仿宋_GB2312" w:hAnsi="仿宋_GB2312" w:eastAsia="仿宋_GB2312" w:cs="仿宋_GB2312"/>
          <w:bCs/>
          <w:color w:val="000000"/>
          <w:kern w:val="0"/>
          <w:sz w:val="32"/>
          <w:szCs w:val="32"/>
          <w:lang w:val="en-US" w:eastAsia="zh-CN" w:bidi="ar-SA"/>
        </w:rPr>
        <w:t>做好机改档案接收进馆相关工作。深入挖掘馆藏档案资源，举办庆祝新中国成立70周年档案文献展。提供详实档案资料，为我市朝天区成功创建“中国特色农产品优势区”发挥重要作用。</w:t>
      </w:r>
      <w:r>
        <w:rPr>
          <w:rFonts w:hint="eastAsia" w:ascii="仿宋_GB2312" w:hAnsi="仿宋_GB2312" w:eastAsia="仿宋_GB2312" w:cs="仿宋_GB2312"/>
          <w:bCs/>
          <w:color w:val="000000"/>
          <w:kern w:val="0"/>
          <w:sz w:val="32"/>
          <w:szCs w:val="32"/>
          <w:lang w:val="ru-RU" w:eastAsia="zh-CN" w:bidi="ar-SA"/>
        </w:rPr>
        <w:t>完成</w:t>
      </w:r>
      <w:r>
        <w:rPr>
          <w:rFonts w:hint="eastAsia" w:ascii="仿宋_GB2312" w:hAnsi="仿宋_GB2312" w:eastAsia="仿宋_GB2312" w:cs="仿宋_GB2312"/>
          <w:bCs/>
          <w:color w:val="000000"/>
          <w:kern w:val="0"/>
          <w:sz w:val="32"/>
          <w:szCs w:val="32"/>
          <w:lang w:val="en-US" w:eastAsia="zh-CN" w:bidi="ar-SA"/>
        </w:rPr>
        <w:t>国家</w:t>
      </w:r>
      <w:r>
        <w:rPr>
          <w:rFonts w:hint="eastAsia" w:ascii="仿宋_GB2312" w:hAnsi="仿宋_GB2312" w:eastAsia="仿宋_GB2312" w:cs="仿宋_GB2312"/>
          <w:bCs/>
          <w:color w:val="000000"/>
          <w:kern w:val="0"/>
          <w:sz w:val="32"/>
          <w:szCs w:val="32"/>
          <w:lang w:val="ru-RU" w:eastAsia="zh-CN" w:bidi="ar-SA"/>
        </w:rPr>
        <w:t>《抗日战争档案汇编</w:t>
      </w:r>
      <w:r>
        <w:rPr>
          <w:rFonts w:hint="eastAsia" w:ascii="仿宋_GB2312" w:hAnsi="仿宋_GB2312" w:eastAsia="仿宋_GB2312" w:cs="仿宋_GB2312"/>
          <w:bCs/>
          <w:color w:val="000000"/>
          <w:kern w:val="0"/>
          <w:sz w:val="32"/>
          <w:szCs w:val="32"/>
          <w:lang w:val="en-US" w:eastAsia="zh-CN" w:bidi="ar-SA"/>
        </w:rPr>
        <w:t>·</w:t>
      </w:r>
      <w:r>
        <w:rPr>
          <w:rFonts w:hint="eastAsia" w:ascii="仿宋_GB2312" w:hAnsi="仿宋_GB2312" w:eastAsia="仿宋_GB2312" w:cs="仿宋_GB2312"/>
          <w:bCs/>
          <w:color w:val="000000"/>
          <w:kern w:val="0"/>
          <w:sz w:val="32"/>
          <w:szCs w:val="32"/>
          <w:lang w:val="ru-RU" w:eastAsia="zh-CN" w:bidi="ar-SA"/>
        </w:rPr>
        <w:t>广元卷（一）》编纂，启动</w:t>
      </w:r>
      <w:r>
        <w:rPr>
          <w:rFonts w:hint="eastAsia" w:ascii="仿宋_GB2312" w:hAnsi="仿宋_GB2312" w:eastAsia="仿宋_GB2312" w:cs="仿宋_GB2312"/>
          <w:bCs/>
          <w:color w:val="000000"/>
          <w:kern w:val="0"/>
          <w:sz w:val="32"/>
          <w:szCs w:val="32"/>
          <w:lang w:val="en-US" w:eastAsia="zh-CN" w:bidi="ar-SA"/>
        </w:rPr>
        <w:t>编纂国家</w:t>
      </w:r>
      <w:r>
        <w:rPr>
          <w:rFonts w:hint="eastAsia" w:ascii="仿宋_GB2312" w:hAnsi="仿宋_GB2312" w:eastAsia="仿宋_GB2312" w:cs="仿宋_GB2312"/>
          <w:bCs/>
          <w:color w:val="000000"/>
          <w:kern w:val="0"/>
          <w:sz w:val="32"/>
          <w:szCs w:val="32"/>
          <w:lang w:val="ru-RU" w:eastAsia="zh-CN" w:bidi="ar-SA"/>
        </w:rPr>
        <w:t>《</w:t>
      </w:r>
      <w:r>
        <w:rPr>
          <w:rFonts w:hint="eastAsia" w:ascii="仿宋_GB2312" w:hAnsi="仿宋_GB2312" w:eastAsia="仿宋_GB2312" w:cs="仿宋_GB2312"/>
          <w:bCs/>
          <w:color w:val="000000"/>
          <w:kern w:val="0"/>
          <w:sz w:val="32"/>
          <w:szCs w:val="32"/>
          <w:lang w:val="en-US" w:eastAsia="zh-CN" w:bidi="ar-SA"/>
        </w:rPr>
        <w:t>抗日战争档案汇编·广元卷（二）》，即将完成《广元红军石刻标语选编》编纂。加强爱国主义教育基地建设，做好对外开放接待和日常管理工作。二是充分发挥档案服务民生功能。不断加强服务窗口建设，优化档案利用服务，切实提高档案查准率、查全率，满足群众查档需求，全年共接待档案利用者3800余人次，提供档案7100余卷（件）次，获得群众好评，收到感谢信2封、锦旗1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4、坚持以规范管理为抓手，全面提升基础业务水平。</w:t>
      </w:r>
      <w:r>
        <w:rPr>
          <w:rFonts w:hint="eastAsia" w:ascii="仿宋_GB2312" w:hAnsi="仿宋_GB2312" w:eastAsia="仿宋_GB2312" w:cs="仿宋_GB2312"/>
          <w:bCs/>
          <w:color w:val="000000"/>
          <w:kern w:val="0"/>
          <w:sz w:val="32"/>
          <w:szCs w:val="32"/>
          <w:lang w:val="en-US" w:eastAsia="zh-CN" w:bidi="ar-SA"/>
        </w:rPr>
        <w:t>一是</w:t>
      </w:r>
      <w:r>
        <w:rPr>
          <w:rFonts w:hint="eastAsia" w:ascii="仿宋_GB2312" w:hAnsi="仿宋_GB2312" w:eastAsia="仿宋_GB2312" w:cs="仿宋_GB2312"/>
          <w:bCs/>
          <w:color w:val="000000"/>
          <w:kern w:val="0"/>
          <w:sz w:val="32"/>
          <w:szCs w:val="32"/>
          <w:lang w:val="ru-RU" w:eastAsia="zh-CN" w:bidi="ar-SA"/>
        </w:rPr>
        <w:t>档案资源建设</w:t>
      </w:r>
      <w:r>
        <w:rPr>
          <w:rFonts w:hint="eastAsia" w:ascii="仿宋_GB2312" w:hAnsi="仿宋_GB2312" w:eastAsia="仿宋_GB2312" w:cs="仿宋_GB2312"/>
          <w:bCs/>
          <w:color w:val="000000"/>
          <w:kern w:val="0"/>
          <w:sz w:val="32"/>
          <w:szCs w:val="32"/>
          <w:lang w:val="en-US" w:eastAsia="zh-CN" w:bidi="ar-SA"/>
        </w:rPr>
        <w:t>质量不断提高</w:t>
      </w:r>
      <w:r>
        <w:rPr>
          <w:rFonts w:hint="eastAsia" w:ascii="仿宋_GB2312" w:hAnsi="仿宋_GB2312" w:eastAsia="仿宋_GB2312" w:cs="仿宋_GB2312"/>
          <w:bCs/>
          <w:color w:val="000000"/>
          <w:kern w:val="0"/>
          <w:sz w:val="32"/>
          <w:szCs w:val="32"/>
          <w:lang w:val="ru-RU" w:eastAsia="zh-CN" w:bidi="ar-SA"/>
        </w:rPr>
        <w:t>。认真贯彻落实国家档案局第8、9、10 号令，依法做好档案接收征集工作，接收进馆各类档案</w:t>
      </w:r>
      <w:r>
        <w:rPr>
          <w:rFonts w:hint="eastAsia" w:ascii="仿宋_GB2312" w:hAnsi="仿宋_GB2312" w:eastAsia="仿宋_GB2312" w:cs="仿宋_GB2312"/>
          <w:bCs/>
          <w:color w:val="000000"/>
          <w:kern w:val="0"/>
          <w:sz w:val="32"/>
          <w:szCs w:val="32"/>
          <w:lang w:val="en-US" w:eastAsia="zh-CN" w:bidi="ar-SA"/>
        </w:rPr>
        <w:t>1.68万卷、图书资料60余册。协助做好重点建设项目档案工作，登记216个，专项督查11个，验收2个。2019年10月，在全省档案资源建设暨鉴定工作培训会上作经验交流发言。二是重点</w:t>
      </w:r>
      <w:r>
        <w:rPr>
          <w:rFonts w:hint="eastAsia" w:ascii="仿宋_GB2312" w:hAnsi="仿宋_GB2312" w:eastAsia="仿宋_GB2312" w:cs="仿宋_GB2312"/>
          <w:bCs/>
          <w:color w:val="000000"/>
          <w:kern w:val="0"/>
          <w:sz w:val="32"/>
          <w:szCs w:val="32"/>
          <w:lang w:val="ru-RU" w:eastAsia="zh-CN" w:bidi="ar-SA"/>
        </w:rPr>
        <w:t>档案保护与开发工作有序开展。</w:t>
      </w:r>
      <w:r>
        <w:rPr>
          <w:rFonts w:hint="eastAsia" w:ascii="仿宋_GB2312" w:hAnsi="仿宋_GB2312" w:eastAsia="仿宋_GB2312" w:cs="仿宋_GB2312"/>
          <w:bCs/>
          <w:color w:val="000000"/>
          <w:kern w:val="0"/>
          <w:sz w:val="32"/>
          <w:szCs w:val="32"/>
          <w:lang w:val="en-US" w:eastAsia="zh-CN" w:bidi="ar-SA"/>
        </w:rPr>
        <w:t>认真</w:t>
      </w:r>
      <w:r>
        <w:rPr>
          <w:rFonts w:hint="eastAsia" w:ascii="仿宋_GB2312" w:hAnsi="仿宋_GB2312" w:eastAsia="仿宋_GB2312" w:cs="仿宋_GB2312"/>
          <w:bCs/>
          <w:color w:val="000000"/>
          <w:kern w:val="0"/>
          <w:sz w:val="32"/>
          <w:szCs w:val="32"/>
          <w:lang w:val="ru-RU" w:eastAsia="zh-CN" w:bidi="ar-SA"/>
        </w:rPr>
        <w:t>实施国家重点档案保护与开发项目，开展民国档案基础目录体系建设，加强项目实施、指导和验收工作，完成民国档案文件级目录著录</w:t>
      </w:r>
      <w:r>
        <w:rPr>
          <w:rFonts w:hint="eastAsia" w:ascii="仿宋_GB2312" w:hAnsi="仿宋_GB2312" w:eastAsia="仿宋_GB2312" w:cs="仿宋_GB2312"/>
          <w:bCs/>
          <w:color w:val="000000"/>
          <w:kern w:val="0"/>
          <w:sz w:val="32"/>
          <w:szCs w:val="32"/>
          <w:lang w:val="en-US" w:eastAsia="zh-CN" w:bidi="ar-SA"/>
        </w:rPr>
        <w:t>2.2万</w:t>
      </w:r>
      <w:r>
        <w:rPr>
          <w:rFonts w:hint="eastAsia" w:ascii="仿宋_GB2312" w:hAnsi="仿宋_GB2312" w:eastAsia="仿宋_GB2312" w:cs="仿宋_GB2312"/>
          <w:bCs/>
          <w:color w:val="000000"/>
          <w:kern w:val="0"/>
          <w:sz w:val="32"/>
          <w:szCs w:val="32"/>
          <w:lang w:val="ru-RU" w:eastAsia="zh-CN" w:bidi="ar-SA"/>
        </w:rPr>
        <w:t>条。</w:t>
      </w:r>
      <w:r>
        <w:rPr>
          <w:rFonts w:hint="eastAsia" w:ascii="仿宋_GB2312" w:hAnsi="仿宋_GB2312" w:eastAsia="仿宋_GB2312" w:cs="仿宋_GB2312"/>
          <w:bCs/>
          <w:color w:val="000000"/>
          <w:kern w:val="0"/>
          <w:sz w:val="32"/>
          <w:szCs w:val="32"/>
          <w:lang w:val="en-US" w:eastAsia="zh-CN" w:bidi="ar-SA"/>
        </w:rPr>
        <w:t>三是信息化建设</w:t>
      </w:r>
      <w:r>
        <w:rPr>
          <w:rFonts w:hint="eastAsia" w:ascii="仿宋_GB2312" w:hAnsi="仿宋_GB2312" w:eastAsia="仿宋_GB2312" w:cs="仿宋_GB2312"/>
          <w:bCs/>
          <w:color w:val="000000"/>
          <w:kern w:val="0"/>
          <w:sz w:val="32"/>
          <w:szCs w:val="32"/>
          <w:lang w:val="ru-RU" w:eastAsia="zh-CN" w:bidi="ar-SA"/>
        </w:rPr>
        <w:t>稳步推进。</w:t>
      </w:r>
      <w:r>
        <w:rPr>
          <w:rFonts w:hint="eastAsia" w:ascii="仿宋_GB2312" w:hAnsi="仿宋_GB2312" w:eastAsia="仿宋_GB2312" w:cs="仿宋_GB2312"/>
          <w:bCs/>
          <w:color w:val="000000"/>
          <w:kern w:val="0"/>
          <w:sz w:val="32"/>
          <w:szCs w:val="32"/>
          <w:lang w:val="en-US" w:eastAsia="zh-CN" w:bidi="ar-SA"/>
        </w:rPr>
        <w:t>全年完成馆藏纸质档案数字化287万页扫描和数据挂接工作</w:t>
      </w:r>
      <w:r>
        <w:rPr>
          <w:rFonts w:hint="eastAsia" w:ascii="仿宋_GB2312" w:hAnsi="仿宋_GB2312" w:eastAsia="仿宋_GB2312" w:cs="仿宋_GB2312"/>
          <w:bCs/>
          <w:color w:val="000000"/>
          <w:kern w:val="0"/>
          <w:sz w:val="32"/>
          <w:szCs w:val="32"/>
          <w:lang w:val="ru-RU" w:eastAsia="zh-CN" w:bidi="ar-SA"/>
        </w:rPr>
        <w:t>。四是档案安全保障能力切实提升。</w:t>
      </w:r>
      <w:r>
        <w:rPr>
          <w:rFonts w:hint="eastAsia" w:ascii="仿宋_GB2312" w:hAnsi="仿宋_GB2312" w:eastAsia="仿宋_GB2312" w:cs="仿宋_GB2312"/>
          <w:bCs/>
          <w:color w:val="000000"/>
          <w:kern w:val="0"/>
          <w:sz w:val="32"/>
          <w:szCs w:val="32"/>
          <w:lang w:val="en-US" w:eastAsia="zh-CN" w:bidi="ar-SA"/>
        </w:rPr>
        <w:t>严格按照“九防”要求，</w:t>
      </w:r>
      <w:r>
        <w:rPr>
          <w:rFonts w:hint="eastAsia" w:ascii="仿宋_GB2312" w:hAnsi="仿宋_GB2312" w:eastAsia="仿宋_GB2312" w:cs="仿宋_GB2312"/>
          <w:bCs/>
          <w:color w:val="000000"/>
          <w:kern w:val="0"/>
          <w:sz w:val="32"/>
          <w:szCs w:val="32"/>
          <w:lang w:val="ru-RU" w:eastAsia="zh-CN" w:bidi="ar-SA"/>
        </w:rPr>
        <w:t>认真执行节假日和汛期</w:t>
      </w:r>
      <w:r>
        <w:rPr>
          <w:rFonts w:hint="eastAsia" w:ascii="仿宋_GB2312" w:hAnsi="仿宋_GB2312" w:eastAsia="仿宋_GB2312" w:cs="仿宋_GB2312"/>
          <w:bCs/>
          <w:color w:val="000000"/>
          <w:kern w:val="0"/>
          <w:sz w:val="32"/>
          <w:szCs w:val="32"/>
          <w:lang w:val="en-US" w:eastAsia="zh-CN" w:bidi="ar-SA"/>
        </w:rPr>
        <w:t>24小时值班制度</w:t>
      </w:r>
      <w:r>
        <w:rPr>
          <w:rFonts w:hint="eastAsia" w:ascii="仿宋_GB2312" w:hAnsi="仿宋_GB2312" w:eastAsia="仿宋_GB2312" w:cs="仿宋_GB2312"/>
          <w:bCs/>
          <w:color w:val="000000"/>
          <w:kern w:val="0"/>
          <w:sz w:val="32"/>
          <w:szCs w:val="32"/>
          <w:lang w:val="ru-RU" w:eastAsia="zh-CN" w:bidi="ar-SA"/>
        </w:rPr>
        <w:t>，</w:t>
      </w:r>
      <w:r>
        <w:rPr>
          <w:rFonts w:hint="eastAsia" w:ascii="仿宋_GB2312" w:hAnsi="仿宋_GB2312" w:eastAsia="仿宋_GB2312" w:cs="仿宋_GB2312"/>
          <w:bCs/>
          <w:color w:val="000000"/>
          <w:kern w:val="0"/>
          <w:sz w:val="32"/>
          <w:szCs w:val="32"/>
          <w:lang w:val="en-US" w:eastAsia="zh-CN" w:bidi="ar-SA"/>
        </w:rPr>
        <w:t>扎实</w:t>
      </w:r>
      <w:r>
        <w:rPr>
          <w:rFonts w:hint="eastAsia" w:ascii="仿宋_GB2312" w:hAnsi="仿宋_GB2312" w:eastAsia="仿宋_GB2312" w:cs="仿宋_GB2312"/>
          <w:bCs/>
          <w:color w:val="000000"/>
          <w:kern w:val="0"/>
          <w:sz w:val="32"/>
          <w:szCs w:val="32"/>
          <w:lang w:val="ru-RU" w:eastAsia="zh-CN" w:bidi="ar-SA"/>
        </w:rPr>
        <w:t>开展日常安全巡查和定期风险隐患治理，有力</w:t>
      </w:r>
      <w:r>
        <w:rPr>
          <w:rFonts w:hint="eastAsia" w:ascii="仿宋_GB2312" w:hAnsi="仿宋_GB2312" w:eastAsia="仿宋_GB2312" w:cs="仿宋_GB2312"/>
          <w:bCs/>
          <w:color w:val="000000"/>
          <w:kern w:val="0"/>
          <w:sz w:val="32"/>
          <w:szCs w:val="32"/>
          <w:lang w:val="en-US" w:eastAsia="zh-CN" w:bidi="ar-SA"/>
        </w:rPr>
        <w:t>落实档案安全防护措施，</w:t>
      </w:r>
      <w:r>
        <w:rPr>
          <w:rFonts w:hint="eastAsia" w:ascii="仿宋_GB2312" w:hAnsi="仿宋_GB2312" w:eastAsia="仿宋_GB2312" w:cs="仿宋_GB2312"/>
          <w:bCs/>
          <w:color w:val="000000"/>
          <w:kern w:val="0"/>
          <w:sz w:val="32"/>
          <w:szCs w:val="32"/>
          <w:lang w:val="ru-RU" w:eastAsia="zh-CN" w:bidi="ar-SA"/>
        </w:rPr>
        <w:t>不断完善“三位一体”档案安全防范体系，确保档案实体和信息绝对安全，全年未发生安全事故。</w:t>
      </w:r>
      <w:r>
        <w:rPr>
          <w:rFonts w:hint="eastAsia" w:ascii="仿宋_GB2312" w:hAnsi="仿宋_GB2312" w:eastAsia="仿宋_GB2312" w:cs="仿宋_GB2312"/>
          <w:bCs/>
          <w:color w:val="000000"/>
          <w:kern w:val="0"/>
          <w:sz w:val="32"/>
          <w:szCs w:val="32"/>
          <w:lang w:val="en-US" w:eastAsia="zh-CN" w:bidi="ar-SA"/>
        </w:rPr>
        <w:t>2019年12月，在全省档案保管工作培训会上作经验交流发言。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5、坚持以夯实基础为重点，高质量完成脱贫攻坚任务。</w:t>
      </w:r>
      <w:r>
        <w:rPr>
          <w:rFonts w:hint="eastAsia" w:ascii="仿宋_GB2312" w:hAnsi="仿宋_GB2312" w:eastAsia="仿宋_GB2312" w:cs="仿宋_GB2312"/>
          <w:bCs/>
          <w:color w:val="000000"/>
          <w:kern w:val="0"/>
          <w:sz w:val="32"/>
          <w:szCs w:val="32"/>
          <w:lang w:val="en-US" w:eastAsia="zh-CN" w:bidi="ar-SA"/>
        </w:rPr>
        <w:t>认真贯彻落实市委市政府脱贫攻坚总体决策部署，持续在产业、基础设施、组织建设等方面加大帮扶力度。督促村集体经济发展，实现人均分红39元；协助帮扶村对1000亩核桃进行了修枝、施肥管护；帮助培训致富带头人3名；协调落实资金2万元，扩容排水涵洞3个，维修路基30方，化解4户13人的生产生活安全隐患；新建休憩凉亭1座，有效改善了整村面貌；协调建设村道防护墩1300米，保证了群众出行安全；督促维护通村通社路17公里。开展“以购代扶”，帮助销售猪肉、土鸡、鸡蛋等农副产品3.2万元。做好重要节日慰问，为贫困户送去衣物、毛毯、米面油等慰问物资和慰问金。推动机关党支部与帮扶村支部开展结对共建，完善“三会一课”、党员培训等制度，组织活力进一步提升，带动脱贫攻坚能力进一步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kern w:val="0"/>
          <w:sz w:val="32"/>
          <w:szCs w:val="32"/>
          <w:lang w:val="en-US" w:eastAsia="zh-CN" w:bidi="ar-SA"/>
        </w:rPr>
      </w:pPr>
      <w:r>
        <w:rPr>
          <w:rFonts w:hint="eastAsia" w:ascii="仿宋_GB2312" w:hAnsi="仿宋_GB2312" w:eastAsia="仿宋_GB2312" w:cs="仿宋_GB2312"/>
          <w:b/>
          <w:bCs w:val="0"/>
          <w:color w:val="000000"/>
          <w:kern w:val="0"/>
          <w:sz w:val="32"/>
          <w:szCs w:val="32"/>
          <w:lang w:val="en-US" w:eastAsia="zh-CN" w:bidi="ar-SA"/>
        </w:rPr>
        <w:t>6、坚持以队伍建设为根本，为档案事业发展提供有力组织保障。</w:t>
      </w:r>
      <w:r>
        <w:rPr>
          <w:rFonts w:hint="eastAsia" w:ascii="仿宋_GB2312" w:hAnsi="仿宋_GB2312" w:eastAsia="仿宋_GB2312" w:cs="仿宋_GB2312"/>
          <w:bCs/>
          <w:color w:val="000000"/>
          <w:kern w:val="0"/>
          <w:sz w:val="32"/>
          <w:szCs w:val="32"/>
          <w:lang w:val="en-US" w:eastAsia="zh-CN" w:bidi="ar-SA"/>
        </w:rPr>
        <w:t>一是加强思想建设。结合“不忘初心、牢记使命”主题教育，努力营造比、学、赶、帮、超的浓厚氛围。二是加强组织建设。完成党总支、支部领导班子换届选举，认真落实“三会一课”、组织生活会、党员积分制管理、党内关怀帮扶等制度，抓好党员“双报到”和“党员义工日”活动。三是加强法治建设。积极参与扫黑除恶专项斗争，持续推进法律法规学习宣传，组织干部职工会前集中学法4次，邀请法律顾问授课1次，引导干部职工带头学法、模范守法。四是加强干部队伍建设，落实好干部标准，树立正确选人用人导向，始终把好选任“五大关口”，严格落实规定程序。结合</w:t>
      </w:r>
      <w:r>
        <w:rPr>
          <w:rFonts w:hint="eastAsia" w:ascii="仿宋_GB2312" w:hAnsi="仿宋_GB2312" w:eastAsia="仿宋_GB2312" w:cs="仿宋_GB2312"/>
          <w:bCs/>
          <w:color w:val="000000"/>
          <w:kern w:val="0"/>
          <w:sz w:val="32"/>
          <w:szCs w:val="32"/>
          <w:lang w:val="ru-RU" w:eastAsia="zh-CN" w:bidi="ar-SA"/>
        </w:rPr>
        <w:t>机改</w:t>
      </w:r>
      <w:r>
        <w:rPr>
          <w:rFonts w:hint="eastAsia" w:ascii="仿宋_GB2312" w:hAnsi="仿宋_GB2312" w:eastAsia="仿宋_GB2312" w:cs="仿宋_GB2312"/>
          <w:bCs/>
          <w:color w:val="000000"/>
          <w:kern w:val="0"/>
          <w:sz w:val="32"/>
          <w:szCs w:val="32"/>
          <w:lang w:val="en-US" w:eastAsia="zh-CN" w:bidi="ar-SA"/>
        </w:rPr>
        <w:t>重新任命干部7人，启动对保管保护科、服务利用科2个科级职位的选拔工作</w:t>
      </w:r>
      <w:r>
        <w:rPr>
          <w:rFonts w:hint="eastAsia" w:ascii="仿宋_GB2312" w:hAnsi="仿宋_GB2312" w:eastAsia="仿宋_GB2312" w:cs="仿宋_GB2312"/>
          <w:bCs/>
          <w:color w:val="000000"/>
          <w:kern w:val="0"/>
          <w:sz w:val="32"/>
          <w:szCs w:val="32"/>
          <w:lang w:val="ru-RU" w:eastAsia="zh-CN" w:bidi="ar-SA"/>
        </w:rPr>
        <w:t>。</w:t>
      </w:r>
      <w:r>
        <w:rPr>
          <w:rFonts w:hint="eastAsia" w:ascii="仿宋_GB2312" w:hAnsi="仿宋_GB2312" w:eastAsia="仿宋_GB2312" w:cs="仿宋_GB2312"/>
          <w:bCs/>
          <w:color w:val="000000"/>
          <w:kern w:val="0"/>
          <w:sz w:val="32"/>
          <w:szCs w:val="32"/>
          <w:lang w:val="en-US" w:eastAsia="zh-CN" w:bidi="ar-SA"/>
        </w:rPr>
        <w:t>深入推进职务与职级并行制度的落实，非领导职务职级套转7人，启动6个空缺职级晋升工作。五是加大干部培训力度，全年共选派29人次参加国家、省、市举办的各类业务培训，着力提升干部职工干事创业本领。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
          <w:bCs w:val="0"/>
          <w:color w:val="000000"/>
          <w:kern w:val="0"/>
          <w:sz w:val="32"/>
          <w:szCs w:val="32"/>
          <w:lang w:val="en-US" w:eastAsia="zh-CN" w:bidi="ar-SA"/>
        </w:rPr>
        <w:t>7、</w:t>
      </w:r>
      <w:r>
        <w:rPr>
          <w:rFonts w:hint="eastAsia" w:ascii="仿宋_GB2312" w:hAnsi="仿宋_GB2312" w:eastAsia="仿宋_GB2312" w:cs="仿宋_GB2312"/>
          <w:b/>
          <w:bCs w:val="0"/>
          <w:color w:val="000000"/>
          <w:kern w:val="0"/>
          <w:sz w:val="32"/>
          <w:szCs w:val="32"/>
          <w:lang w:val="ru-RU" w:eastAsia="zh-CN" w:bidi="ar-SA"/>
        </w:rPr>
        <w:t>坚持以从严从实为要求，切实抓好</w:t>
      </w:r>
      <w:r>
        <w:rPr>
          <w:rFonts w:hint="eastAsia" w:ascii="仿宋_GB2312" w:hAnsi="仿宋_GB2312" w:eastAsia="仿宋_GB2312" w:cs="仿宋_GB2312"/>
          <w:b/>
          <w:bCs w:val="0"/>
          <w:color w:val="000000"/>
          <w:kern w:val="0"/>
          <w:sz w:val="32"/>
          <w:szCs w:val="32"/>
          <w:lang w:val="en-US" w:eastAsia="zh-CN" w:bidi="ar-SA"/>
        </w:rPr>
        <w:t>作风纪律建设。</w:t>
      </w:r>
      <w:r>
        <w:rPr>
          <w:rFonts w:hint="eastAsia" w:ascii="仿宋_GB2312" w:hAnsi="仿宋_GB2312" w:eastAsia="仿宋_GB2312" w:cs="仿宋_GB2312"/>
          <w:bCs/>
          <w:color w:val="000000"/>
          <w:kern w:val="0"/>
          <w:sz w:val="32"/>
          <w:szCs w:val="32"/>
          <w:lang w:val="ru-RU" w:eastAsia="zh-CN" w:bidi="ar-SA"/>
        </w:rPr>
        <w:t>深入推进党风廉政建设和反腐败工作，</w:t>
      </w:r>
      <w:r>
        <w:rPr>
          <w:rFonts w:hint="eastAsia" w:ascii="仿宋_GB2312" w:hAnsi="仿宋_GB2312" w:eastAsia="仿宋_GB2312" w:cs="仿宋_GB2312"/>
          <w:bCs/>
          <w:color w:val="000000"/>
          <w:kern w:val="0"/>
          <w:sz w:val="32"/>
          <w:szCs w:val="32"/>
          <w:lang w:val="en-US" w:eastAsia="zh-CN" w:bidi="ar-SA"/>
        </w:rPr>
        <w:t>认真执行民主集中制，突出预防教育，全年开展专题学习7次，观看警示教育片3部，学习案例20余起，持续开展“作风纪律深化年”活动，结合“不忘初心、牢记使命”主题教育，深入开展“形式主义、官僚主义”“赌博敛财”、利用名贵特产类特殊资源谋取私利等突出问题专项整治，开展作风效能检查26次，干部职工无违纪违规现象发生。</w:t>
      </w:r>
    </w:p>
    <w:p>
      <w:pPr>
        <w:pageBreakBefore w:val="0"/>
        <w:widowControl/>
        <w:kinsoku/>
        <w:wordWrap/>
        <w:overflowPunct/>
        <w:topLinePunct w:val="0"/>
        <w:bidi w:val="0"/>
        <w:spacing w:line="560" w:lineRule="exact"/>
        <w:ind w:leftChars="300"/>
        <w:jc w:val="left"/>
        <w:rPr>
          <w:rStyle w:val="28"/>
          <w:rFonts w:hint="eastAsia" w:ascii="黑体" w:hAnsi="黑体" w:eastAsia="黑体" w:cs="黑体"/>
          <w:bCs w:val="0"/>
          <w:lang w:val="en-US" w:eastAsia="zh-CN" w:bidi="ar-SA"/>
        </w:rPr>
      </w:pPr>
      <w:bookmarkStart w:id="26" w:name="_Toc15377200"/>
      <w:bookmarkStart w:id="27" w:name="_Toc15396601"/>
      <w:bookmarkStart w:id="28" w:name="_Toc2584"/>
      <w:r>
        <w:rPr>
          <w:rStyle w:val="28"/>
          <w:rFonts w:hint="eastAsia" w:ascii="黑体" w:hAnsi="黑体" w:eastAsia="黑体" w:cs="黑体"/>
          <w:bCs w:val="0"/>
          <w:lang w:val="en-US" w:eastAsia="zh-CN" w:bidi="ar-SA"/>
        </w:rPr>
        <w:t>二、机构设置</w:t>
      </w:r>
      <w:bookmarkEnd w:id="26"/>
      <w:bookmarkEnd w:id="27"/>
    </w:p>
    <w:bookmarkEnd w:id="28"/>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市档案馆</w:t>
      </w:r>
      <w:r>
        <w:rPr>
          <w:rFonts w:hint="eastAsia" w:ascii="仿宋_GB2312" w:hAnsi="仿宋_GB2312" w:eastAsia="仿宋_GB2312" w:cs="仿宋_GB2312"/>
          <w:sz w:val="32"/>
          <w:szCs w:val="32"/>
        </w:rPr>
        <w:t>下属</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，为市现行文件服务中心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未独立核算。</w:t>
      </w:r>
      <w:bookmarkStart w:id="29" w:name="_Toc15396602"/>
      <w:bookmarkStart w:id="30" w:name="_Toc15377204"/>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4"/>
        <w:pageBreakBefore w:val="0"/>
        <w:kinsoku/>
        <w:wordWrap/>
        <w:overflowPunct/>
        <w:topLinePunct w:val="0"/>
        <w:bidi w:val="0"/>
        <w:spacing w:line="560" w:lineRule="exact"/>
        <w:jc w:val="center"/>
        <w:rPr>
          <w:rFonts w:hint="eastAsia" w:ascii="仿宋_GB2312" w:hAnsi="仿宋_GB2312" w:eastAsia="仿宋_GB2312" w:cs="仿宋_GB2312"/>
          <w:b/>
          <w:bCs w:val="0"/>
        </w:rPr>
      </w:pPr>
      <w:bookmarkStart w:id="31" w:name="_Toc25940"/>
      <w:r>
        <w:rPr>
          <w:rFonts w:hint="eastAsia" w:ascii="黑体" w:hAnsi="黑体" w:eastAsia="黑体" w:cs="黑体"/>
          <w:b/>
          <w:bCs w:val="0"/>
        </w:rPr>
        <w:t>第二部分 2019年度部门决算情况说明</w:t>
      </w:r>
      <w:bookmarkEnd w:id="29"/>
      <w:bookmarkEnd w:id="30"/>
      <w:bookmarkEnd w:id="31"/>
    </w:p>
    <w:p>
      <w:pPr>
        <w:pStyle w:val="26"/>
        <w:pageBreakBefore w:val="0"/>
        <w:numPr>
          <w:ilvl w:val="0"/>
          <w:numId w:val="2"/>
        </w:numPr>
        <w:kinsoku/>
        <w:wordWrap/>
        <w:overflowPunct/>
        <w:topLinePunct w:val="0"/>
        <w:bidi w:val="0"/>
        <w:spacing w:line="560" w:lineRule="exact"/>
        <w:ind w:firstLineChars="0"/>
        <w:outlineLvl w:val="1"/>
        <w:rPr>
          <w:rStyle w:val="28"/>
          <w:rFonts w:hint="eastAsia" w:ascii="黑体" w:hAnsi="黑体" w:eastAsia="黑体" w:cs="黑体"/>
          <w:b/>
          <w:bCs/>
        </w:rPr>
      </w:pPr>
      <w:bookmarkStart w:id="32" w:name="_Toc15377205"/>
      <w:bookmarkStart w:id="33" w:name="_Toc10745"/>
      <w:bookmarkStart w:id="34" w:name="_Toc15396603"/>
      <w:r>
        <w:rPr>
          <w:rFonts w:hint="eastAsia" w:ascii="黑体" w:hAnsi="黑体" w:eastAsia="黑体" w:cs="黑体"/>
          <w:b/>
          <w:bCs/>
          <w:color w:val="000000"/>
          <w:sz w:val="32"/>
          <w:szCs w:val="32"/>
        </w:rPr>
        <w:t>收</w:t>
      </w:r>
      <w:r>
        <w:rPr>
          <w:rStyle w:val="28"/>
          <w:rFonts w:hint="eastAsia" w:ascii="黑体" w:hAnsi="黑体" w:eastAsia="黑体" w:cs="黑体"/>
          <w:b/>
          <w:bCs/>
        </w:rPr>
        <w:t>入支出决算总体情况说明</w:t>
      </w:r>
      <w:bookmarkEnd w:id="32"/>
      <w:bookmarkEnd w:id="33"/>
      <w:bookmarkEnd w:id="34"/>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2019年度收、支总计</w:t>
      </w:r>
      <w:r>
        <w:rPr>
          <w:rFonts w:hint="eastAsia" w:ascii="仿宋_GB2312" w:hAnsi="仿宋_GB2312" w:eastAsia="仿宋_GB2312" w:cs="仿宋_GB2312"/>
          <w:color w:val="000000"/>
          <w:sz w:val="32"/>
          <w:szCs w:val="32"/>
          <w:lang w:val="en-US" w:eastAsia="zh-CN"/>
        </w:rPr>
        <w:t>845.73</w:t>
      </w:r>
      <w:r>
        <w:rPr>
          <w:rFonts w:hint="eastAsia" w:ascii="仿宋_GB2312" w:hAnsi="仿宋_GB2312" w:eastAsia="仿宋_GB2312" w:cs="仿宋_GB2312"/>
          <w:color w:val="000000"/>
          <w:sz w:val="32"/>
          <w:szCs w:val="32"/>
        </w:rPr>
        <w:t>万元。与2018年相比，收、支总计各减少</w:t>
      </w:r>
      <w:r>
        <w:rPr>
          <w:rFonts w:hint="eastAsia" w:ascii="仿宋_GB2312" w:hAnsi="仿宋_GB2312" w:eastAsia="仿宋_GB2312" w:cs="仿宋_GB2312"/>
          <w:color w:val="000000"/>
          <w:sz w:val="32"/>
          <w:szCs w:val="32"/>
          <w:lang w:val="en-US" w:eastAsia="zh-CN"/>
        </w:rPr>
        <w:t>27.2</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3.12</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一是国家重点档案专项资金较上年减少。二是市本级财政压减一般公共预算支出。</w:t>
      </w:r>
    </w:p>
    <w:p>
      <w:pPr>
        <w:pStyle w:val="2"/>
        <w:rPr>
          <w:rFonts w:hint="eastAsia"/>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6"/>
        <w:pageBreakBefore w:val="0"/>
        <w:numPr>
          <w:ilvl w:val="0"/>
          <w:numId w:val="2"/>
        </w:numPr>
        <w:kinsoku/>
        <w:wordWrap/>
        <w:overflowPunct/>
        <w:topLinePunct w:val="0"/>
        <w:bidi w:val="0"/>
        <w:spacing w:line="560" w:lineRule="exact"/>
        <w:ind w:firstLineChars="0"/>
        <w:outlineLvl w:val="1"/>
        <w:rPr>
          <w:rFonts w:hint="eastAsia" w:ascii="黑体" w:hAnsi="黑体" w:eastAsia="黑体" w:cs="黑体"/>
          <w:b/>
          <w:bCs/>
          <w:color w:val="000000"/>
          <w:sz w:val="32"/>
          <w:szCs w:val="32"/>
        </w:rPr>
      </w:pPr>
      <w:bookmarkStart w:id="35" w:name="_Toc15396604"/>
      <w:bookmarkStart w:id="36" w:name="_Toc11307"/>
      <w:bookmarkStart w:id="37" w:name="_Toc15377206"/>
      <w:r>
        <w:rPr>
          <w:rFonts w:hint="eastAsia" w:ascii="黑体" w:hAnsi="黑体" w:eastAsia="黑体" w:cs="黑体"/>
          <w:b/>
          <w:bCs/>
          <w:color w:val="000000"/>
          <w:sz w:val="32"/>
          <w:szCs w:val="32"/>
        </w:rPr>
        <w:t>收入决算情况说明</w:t>
      </w:r>
      <w:bookmarkEnd w:id="35"/>
      <w:bookmarkEnd w:id="36"/>
      <w:bookmarkEnd w:id="37"/>
    </w:p>
    <w:p>
      <w:pPr>
        <w:pageBreakBefore w:val="0"/>
        <w:kinsoku/>
        <w:wordWrap/>
        <w:overflowPunct/>
        <w:topLinePunct w:val="0"/>
        <w:bidi w:val="0"/>
        <w:spacing w:line="560" w:lineRule="exact"/>
        <w:ind w:firstLine="640" w:firstLineChars="200"/>
        <w:outlineLvl w:val="1"/>
        <w:rPr>
          <w:rFonts w:hint="eastAsia" w:ascii="仿宋_GB2312" w:hAnsi="仿宋_GB2312" w:eastAsia="仿宋_GB2312" w:cs="仿宋_GB2312"/>
          <w:color w:val="000000"/>
          <w:sz w:val="32"/>
          <w:szCs w:val="32"/>
        </w:rPr>
      </w:pPr>
      <w:bookmarkStart w:id="38" w:name="_Toc31657"/>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664.22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647.84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97.54</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16.37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2.46</w:t>
      </w:r>
      <w:r>
        <w:rPr>
          <w:rFonts w:hint="eastAsia" w:ascii="仿宋_GB2312" w:hAnsi="仿宋_GB2312" w:eastAsia="仿宋_GB2312" w:cs="仿宋_GB2312"/>
          <w:color w:val="000000"/>
          <w:sz w:val="32"/>
          <w:szCs w:val="32"/>
        </w:rPr>
        <w:t>%。</w:t>
      </w:r>
      <w:bookmarkEnd w:id="38"/>
    </w:p>
    <w:p>
      <w:pPr>
        <w:pStyle w:val="2"/>
        <w:rPr>
          <w:rFonts w:hint="eastAsia"/>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pPr>
        <w:pStyle w:val="26"/>
        <w:pageBreakBefore w:val="0"/>
        <w:numPr>
          <w:ilvl w:val="0"/>
          <w:numId w:val="2"/>
        </w:numPr>
        <w:kinsoku/>
        <w:wordWrap/>
        <w:overflowPunct/>
        <w:topLinePunct w:val="0"/>
        <w:bidi w:val="0"/>
        <w:spacing w:line="560" w:lineRule="exact"/>
        <w:ind w:firstLineChars="0"/>
        <w:outlineLvl w:val="1"/>
        <w:rPr>
          <w:rFonts w:hint="eastAsia" w:ascii="黑体" w:hAnsi="黑体" w:eastAsia="黑体" w:cs="黑体"/>
          <w:b/>
          <w:bCs/>
          <w:color w:val="000000"/>
          <w:sz w:val="32"/>
          <w:szCs w:val="32"/>
        </w:rPr>
      </w:pPr>
      <w:bookmarkStart w:id="39" w:name="_Toc15396605"/>
      <w:bookmarkStart w:id="40" w:name="_Toc30628"/>
      <w:bookmarkStart w:id="41" w:name="_Toc15377207"/>
      <w:r>
        <w:rPr>
          <w:rFonts w:hint="eastAsia" w:ascii="黑体" w:hAnsi="黑体" w:eastAsia="黑体" w:cs="黑体"/>
          <w:b/>
          <w:bCs/>
          <w:color w:val="000000"/>
          <w:sz w:val="32"/>
          <w:szCs w:val="32"/>
        </w:rPr>
        <w:t>支出决算情况说明</w:t>
      </w:r>
      <w:bookmarkEnd w:id="39"/>
      <w:bookmarkEnd w:id="40"/>
      <w:bookmarkEnd w:id="41"/>
    </w:p>
    <w:p>
      <w:pPr>
        <w:pageBreakBefore w:val="0"/>
        <w:kinsoku/>
        <w:wordWrap/>
        <w:overflowPunct/>
        <w:topLinePunct w:val="0"/>
        <w:bidi w:val="0"/>
        <w:spacing w:line="560" w:lineRule="exact"/>
        <w:ind w:firstLine="640" w:firstLineChars="200"/>
        <w:outlineLvl w:val="1"/>
        <w:rPr>
          <w:rFonts w:hint="eastAsia" w:ascii="仿宋_GB2312" w:hAnsi="仿宋_GB2312" w:eastAsia="仿宋_GB2312" w:cs="仿宋_GB2312"/>
          <w:color w:val="000000"/>
          <w:sz w:val="32"/>
          <w:szCs w:val="32"/>
          <w:lang w:eastAsia="zh-CN"/>
        </w:rPr>
      </w:pPr>
      <w:bookmarkStart w:id="42" w:name="_Toc15938"/>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681.03</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527.03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77.39</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154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22.61</w:t>
      </w:r>
      <w:r>
        <w:rPr>
          <w:rFonts w:hint="eastAsia" w:ascii="仿宋_GB2312" w:hAnsi="仿宋_GB2312" w:eastAsia="仿宋_GB2312" w:cs="仿宋_GB2312"/>
          <w:color w:val="000000"/>
          <w:sz w:val="32"/>
          <w:szCs w:val="32"/>
        </w:rPr>
        <w:t>%</w:t>
      </w:r>
      <w:bookmarkEnd w:id="42"/>
      <w:r>
        <w:rPr>
          <w:rFonts w:hint="eastAsia" w:ascii="仿宋_GB2312" w:hAnsi="仿宋_GB2312" w:eastAsia="仿宋_GB2312" w:cs="仿宋_GB2312"/>
          <w:color w:val="000000"/>
          <w:sz w:val="32"/>
          <w:szCs w:val="32"/>
          <w:lang w:eastAsia="zh-CN"/>
        </w:rPr>
        <w:t>。</w:t>
      </w:r>
    </w:p>
    <w:p>
      <w:pPr>
        <w:pStyle w:val="2"/>
        <w:rPr>
          <w:rFonts w:hint="eastAsia"/>
        </w:rPr>
      </w:pPr>
    </w:p>
    <w:p>
      <w:pPr>
        <w:pStyle w:val="2"/>
        <w:rPr>
          <w:rFonts w:hint="eastAsia"/>
        </w:rPr>
      </w:pPr>
      <w:r>
        <w:drawing>
          <wp:inline distT="0" distB="0" distL="114300" distR="114300">
            <wp:extent cx="4572000" cy="2743200"/>
            <wp:effectExtent l="4445" t="4445" r="14605" b="14605"/>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FF0000"/>
          <w:sz w:val="32"/>
          <w:szCs w:val="32"/>
        </w:rPr>
      </w:pPr>
    </w:p>
    <w:p>
      <w:pPr>
        <w:pStyle w:val="26"/>
        <w:pageBreakBefore w:val="0"/>
        <w:numPr>
          <w:ilvl w:val="0"/>
          <w:numId w:val="0"/>
        </w:numPr>
        <w:kinsoku/>
        <w:wordWrap/>
        <w:overflowPunct/>
        <w:topLinePunct w:val="0"/>
        <w:bidi w:val="0"/>
        <w:spacing w:line="560" w:lineRule="exact"/>
        <w:ind w:firstLine="643" w:firstLineChars="200"/>
        <w:outlineLvl w:val="1"/>
        <w:rPr>
          <w:rFonts w:hint="eastAsia" w:ascii="黑体" w:hAnsi="黑体" w:eastAsia="黑体" w:cs="黑体"/>
          <w:b/>
          <w:bCs/>
          <w:color w:val="000000"/>
          <w:sz w:val="32"/>
          <w:szCs w:val="32"/>
        </w:rPr>
      </w:pPr>
      <w:bookmarkStart w:id="43" w:name="_Toc3307"/>
      <w:bookmarkStart w:id="44" w:name="_Toc15396606"/>
      <w:bookmarkStart w:id="45" w:name="_Toc15377208"/>
      <w:r>
        <w:rPr>
          <w:rFonts w:hint="eastAsia" w:ascii="黑体" w:hAnsi="黑体" w:eastAsia="黑体" w:cs="黑体"/>
          <w:b/>
          <w:bCs/>
          <w:color w:val="000000"/>
          <w:sz w:val="32"/>
          <w:szCs w:val="32"/>
        </w:rPr>
        <w:t>四、财政拨款收入支出决算总体情况说明</w:t>
      </w:r>
      <w:bookmarkEnd w:id="43"/>
      <w:bookmarkEnd w:id="44"/>
      <w:bookmarkEnd w:id="45"/>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805.84</w:t>
      </w:r>
      <w:r>
        <w:rPr>
          <w:rFonts w:hint="eastAsia" w:ascii="仿宋_GB2312" w:hAnsi="仿宋_GB2312" w:eastAsia="仿宋_GB2312" w:cs="仿宋_GB2312"/>
          <w:color w:val="000000"/>
          <w:sz w:val="32"/>
          <w:szCs w:val="32"/>
        </w:rPr>
        <w:t>万元。与2018年相比，财政拨款收、支总计各减少</w:t>
      </w:r>
      <w:r>
        <w:rPr>
          <w:rFonts w:hint="eastAsia" w:ascii="仿宋_GB2312" w:hAnsi="仿宋_GB2312" w:eastAsia="仿宋_GB2312" w:cs="仿宋_GB2312"/>
          <w:color w:val="000000"/>
          <w:sz w:val="32"/>
          <w:szCs w:val="32"/>
          <w:lang w:val="en-US" w:eastAsia="zh-CN"/>
        </w:rPr>
        <w:t>27.83</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3.34</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深入贯彻“过紧日子”思想，市本级财政压减当年一般公共预算支出。</w:t>
      </w:r>
    </w:p>
    <w:p>
      <w:pPr>
        <w:pStyle w:val="2"/>
        <w:rPr>
          <w:rFonts w:hint="eastAsia"/>
          <w:lang w:eastAsia="zh-CN"/>
        </w:rPr>
      </w:pPr>
      <w:r>
        <w:drawing>
          <wp:inline distT="0" distB="0" distL="114300" distR="114300">
            <wp:extent cx="4572000" cy="2743200"/>
            <wp:effectExtent l="4445" t="4445" r="14605" b="14605"/>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6"/>
        <w:pageBreakBefore w:val="0"/>
        <w:numPr>
          <w:ilvl w:val="0"/>
          <w:numId w:val="0"/>
        </w:numPr>
        <w:kinsoku/>
        <w:wordWrap/>
        <w:overflowPunct/>
        <w:topLinePunct w:val="0"/>
        <w:bidi w:val="0"/>
        <w:spacing w:line="560" w:lineRule="exact"/>
        <w:ind w:firstLine="643" w:firstLineChars="200"/>
        <w:outlineLvl w:val="1"/>
        <w:rPr>
          <w:rFonts w:hint="eastAsia" w:ascii="黑体" w:hAnsi="黑体" w:eastAsia="黑体" w:cs="黑体"/>
          <w:b/>
          <w:bCs/>
          <w:color w:val="000000"/>
          <w:sz w:val="32"/>
          <w:szCs w:val="32"/>
        </w:rPr>
      </w:pPr>
      <w:bookmarkStart w:id="46" w:name="_Toc15377209"/>
      <w:bookmarkStart w:id="47" w:name="_Toc725"/>
      <w:bookmarkStart w:id="48" w:name="_Toc15396607"/>
      <w:r>
        <w:rPr>
          <w:rFonts w:hint="eastAsia" w:ascii="黑体" w:hAnsi="黑体" w:eastAsia="黑体" w:cs="黑体"/>
          <w:b/>
          <w:bCs/>
          <w:color w:val="000000"/>
          <w:sz w:val="32"/>
          <w:szCs w:val="32"/>
        </w:rPr>
        <w:t>五、一般公共预算财政拨款支出决算情况说明</w:t>
      </w:r>
      <w:bookmarkEnd w:id="46"/>
      <w:bookmarkEnd w:id="47"/>
      <w:bookmarkEnd w:id="48"/>
    </w:p>
    <w:p>
      <w:pPr>
        <w:pageBreakBefore w:val="0"/>
        <w:kinsoku/>
        <w:wordWrap/>
        <w:overflowPunct/>
        <w:topLinePunct w:val="0"/>
        <w:bidi w:val="0"/>
        <w:spacing w:line="560" w:lineRule="exact"/>
        <w:ind w:firstLine="643" w:firstLineChars="200"/>
        <w:outlineLvl w:val="2"/>
        <w:rPr>
          <w:rFonts w:hint="eastAsia" w:ascii="楷体" w:hAnsi="楷体" w:eastAsia="楷体" w:cs="楷体"/>
          <w:b/>
          <w:color w:val="000000"/>
          <w:sz w:val="32"/>
          <w:szCs w:val="32"/>
        </w:rPr>
      </w:pPr>
      <w:bookmarkStart w:id="49" w:name="_Toc24343"/>
      <w:bookmarkStart w:id="50" w:name="_Toc15377210"/>
      <w:r>
        <w:rPr>
          <w:rFonts w:hint="eastAsia" w:ascii="楷体" w:hAnsi="楷体" w:eastAsia="楷体" w:cs="楷体"/>
          <w:b/>
          <w:color w:val="000000"/>
          <w:sz w:val="32"/>
          <w:szCs w:val="32"/>
        </w:rPr>
        <w:t>（一）一般公共预算财政拨款支出决算总体情况</w:t>
      </w:r>
      <w:bookmarkEnd w:id="49"/>
      <w:bookmarkEnd w:id="50"/>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669.29</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98.28</w:t>
      </w:r>
      <w:r>
        <w:rPr>
          <w:rFonts w:hint="eastAsia" w:ascii="仿宋_GB2312" w:hAnsi="仿宋_GB2312" w:eastAsia="仿宋_GB2312" w:cs="仿宋_GB2312"/>
          <w:color w:val="000000"/>
          <w:sz w:val="32"/>
          <w:szCs w:val="32"/>
        </w:rPr>
        <w:t>%。与2018年相比，一般公共预算财政拨款减少</w:t>
      </w:r>
      <w:r>
        <w:rPr>
          <w:rFonts w:hint="eastAsia" w:ascii="仿宋_GB2312" w:hAnsi="仿宋_GB2312" w:eastAsia="仿宋_GB2312" w:cs="仿宋_GB2312"/>
          <w:color w:val="000000"/>
          <w:sz w:val="32"/>
          <w:szCs w:val="32"/>
          <w:lang w:val="en-US" w:eastAsia="zh-CN"/>
        </w:rPr>
        <w:t>12.13</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1.78</w:t>
      </w:r>
      <w:r>
        <w:rPr>
          <w:rFonts w:hint="eastAsia" w:ascii="仿宋_GB2312" w:hAnsi="仿宋_GB2312" w:eastAsia="仿宋_GB2312" w:cs="仿宋_GB2312"/>
          <w:color w:val="000000"/>
          <w:sz w:val="32"/>
          <w:szCs w:val="32"/>
        </w:rPr>
        <w:t>%。主要变动原因是主要变动原因是</w:t>
      </w:r>
      <w:r>
        <w:rPr>
          <w:rFonts w:hint="eastAsia" w:ascii="仿宋_GB2312" w:hAnsi="仿宋_GB2312" w:eastAsia="仿宋_GB2312" w:cs="仿宋_GB2312"/>
          <w:color w:val="000000"/>
          <w:sz w:val="32"/>
          <w:szCs w:val="32"/>
          <w:lang w:eastAsia="zh-CN"/>
        </w:rPr>
        <w:t>深入贯彻“过紧日子”思想，市本级财政压减当年一般公共预算支出。</w:t>
      </w:r>
    </w:p>
    <w:p>
      <w:pPr>
        <w:pStyle w:val="2"/>
        <w:rPr>
          <w:rFonts w:hint="eastAsia"/>
        </w:rPr>
      </w:pPr>
      <w:r>
        <w:drawing>
          <wp:inline distT="0" distB="0" distL="114300" distR="114300">
            <wp:extent cx="4415790" cy="2559685"/>
            <wp:effectExtent l="4445" t="4445" r="18415" b="7620"/>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60" w:lineRule="exact"/>
        <w:ind w:firstLine="643" w:firstLineChars="200"/>
        <w:outlineLvl w:val="2"/>
        <w:rPr>
          <w:rFonts w:hint="eastAsia" w:ascii="楷体" w:hAnsi="楷体" w:eastAsia="楷体" w:cs="楷体"/>
          <w:b/>
          <w:color w:val="000000"/>
          <w:sz w:val="32"/>
          <w:szCs w:val="32"/>
        </w:rPr>
      </w:pPr>
      <w:bookmarkStart w:id="51" w:name="_Toc15377211"/>
      <w:bookmarkStart w:id="52" w:name="_Toc9536"/>
      <w:r>
        <w:rPr>
          <w:rFonts w:hint="eastAsia" w:ascii="楷体" w:hAnsi="楷体" w:eastAsia="楷体" w:cs="楷体"/>
          <w:b/>
          <w:color w:val="000000"/>
          <w:sz w:val="32"/>
          <w:szCs w:val="32"/>
        </w:rPr>
        <w:t>（二）一般公共预算财政拨款支出决算结构情况</w:t>
      </w:r>
      <w:bookmarkEnd w:id="51"/>
      <w:bookmarkEnd w:id="52"/>
    </w:p>
    <w:p>
      <w:pPr>
        <w:pageBreakBefore w:val="0"/>
        <w:kinsoku/>
        <w:wordWrap/>
        <w:overflowPunct/>
        <w:topLinePunct w:val="0"/>
        <w:bidi w:val="0"/>
        <w:spacing w:line="560" w:lineRule="exact"/>
        <w:ind w:firstLine="64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669.29</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一般公共服务（类）支出</w:t>
      </w:r>
      <w:r>
        <w:rPr>
          <w:rFonts w:hint="eastAsia" w:ascii="仿宋_GB2312" w:hAnsi="仿宋_GB2312" w:eastAsia="仿宋_GB2312" w:cs="仿宋_GB2312"/>
          <w:color w:val="000000" w:themeColor="text1"/>
          <w:sz w:val="32"/>
          <w:szCs w:val="32"/>
          <w:lang w:val="en-US" w:eastAsia="zh-CN"/>
        </w:rPr>
        <w:t>553.29</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82.67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社会保障和就业（类）支出</w:t>
      </w:r>
      <w:r>
        <w:rPr>
          <w:rFonts w:hint="eastAsia" w:ascii="仿宋_GB2312" w:hAnsi="仿宋_GB2312" w:eastAsia="仿宋_GB2312" w:cs="仿宋_GB2312"/>
          <w:color w:val="000000" w:themeColor="text1"/>
          <w:sz w:val="32"/>
          <w:szCs w:val="32"/>
          <w:lang w:val="en-US" w:eastAsia="zh-CN"/>
        </w:rPr>
        <w:t>66.04</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9.87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卫生健康</w:t>
      </w:r>
      <w:r>
        <w:rPr>
          <w:rFonts w:hint="eastAsia" w:ascii="仿宋_GB2312" w:hAnsi="仿宋_GB2312" w:eastAsia="仿宋_GB2312" w:cs="仿宋_GB2312"/>
          <w:b/>
          <w:bCs/>
          <w:color w:val="000000" w:themeColor="text1"/>
          <w:sz w:val="32"/>
          <w:szCs w:val="32"/>
          <w:lang w:eastAsia="zh-CN"/>
        </w:rPr>
        <w:t>（类）</w:t>
      </w:r>
      <w:r>
        <w:rPr>
          <w:rFonts w:hint="eastAsia" w:ascii="仿宋_GB2312" w:hAnsi="仿宋_GB2312" w:eastAsia="仿宋_GB2312" w:cs="仿宋_GB2312"/>
          <w:b/>
          <w:bCs/>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15.42</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2.3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住房保障</w:t>
      </w:r>
      <w:r>
        <w:rPr>
          <w:rFonts w:hint="eastAsia" w:ascii="仿宋_GB2312" w:hAnsi="仿宋_GB2312" w:eastAsia="仿宋_GB2312" w:cs="仿宋_GB2312"/>
          <w:b/>
          <w:color w:val="000000" w:themeColor="text1"/>
          <w:sz w:val="32"/>
          <w:szCs w:val="32"/>
          <w:lang w:eastAsia="zh-CN"/>
        </w:rPr>
        <w:t>（类）</w:t>
      </w:r>
      <w:r>
        <w:rPr>
          <w:rFonts w:hint="eastAsia" w:ascii="仿宋_GB2312" w:hAnsi="仿宋_GB2312" w:eastAsia="仿宋_GB2312" w:cs="仿宋_GB2312"/>
          <w:b/>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34.55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5.16</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w:t>
      </w:r>
    </w:p>
    <w:p>
      <w:pPr>
        <w:pStyle w:val="2"/>
        <w:rPr>
          <w:rFonts w:hint="eastAsia"/>
          <w:lang w:eastAsia="zh-CN"/>
        </w:rPr>
      </w:pPr>
    </w:p>
    <w:p>
      <w:pPr>
        <w:pStyle w:val="2"/>
        <w:rPr>
          <w:rFonts w:hint="eastAsia" w:ascii="仿宋_GB2312" w:hAnsi="仿宋_GB2312" w:eastAsia="仿宋_GB2312" w:cs="仿宋_GB2312"/>
          <w:color w:val="000000" w:themeColor="text1"/>
          <w:sz w:val="32"/>
          <w:szCs w:val="32"/>
          <w:lang w:eastAsia="zh-CN"/>
        </w:rPr>
      </w:pPr>
      <w:r>
        <w:drawing>
          <wp:inline distT="0" distB="0" distL="114300" distR="114300">
            <wp:extent cx="4745355" cy="2889885"/>
            <wp:effectExtent l="4445" t="4445" r="12700" b="203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ind w:left="0" w:leftChars="0" w:firstLine="0" w:firstLineChars="0"/>
        <w:rPr>
          <w:rFonts w:hint="eastAsia" w:ascii="仿宋_GB2312" w:hAnsi="仿宋_GB2312" w:eastAsia="仿宋_GB2312" w:cs="仿宋_GB2312"/>
          <w:color w:val="000000" w:themeColor="text1"/>
          <w:sz w:val="32"/>
          <w:szCs w:val="32"/>
          <w:lang w:eastAsia="zh-CN"/>
        </w:rPr>
      </w:pPr>
    </w:p>
    <w:p>
      <w:pPr>
        <w:pageBreakBefore w:val="0"/>
        <w:kinsoku/>
        <w:wordWrap/>
        <w:overflowPunct/>
        <w:topLinePunct w:val="0"/>
        <w:bidi w:val="0"/>
        <w:spacing w:line="560" w:lineRule="exact"/>
        <w:ind w:firstLine="643" w:firstLineChars="200"/>
        <w:outlineLvl w:val="2"/>
        <w:rPr>
          <w:rFonts w:hint="eastAsia" w:ascii="楷体" w:hAnsi="楷体" w:eastAsia="楷体" w:cs="楷体"/>
          <w:b/>
          <w:color w:val="000000"/>
          <w:sz w:val="32"/>
          <w:szCs w:val="32"/>
        </w:rPr>
      </w:pPr>
      <w:bookmarkStart w:id="53" w:name="_Toc15377212"/>
      <w:bookmarkStart w:id="54" w:name="_Toc17194"/>
      <w:r>
        <w:rPr>
          <w:rFonts w:hint="eastAsia" w:ascii="楷体" w:hAnsi="楷体" w:eastAsia="楷体" w:cs="楷体"/>
          <w:b/>
          <w:color w:val="000000"/>
          <w:sz w:val="32"/>
          <w:szCs w:val="32"/>
        </w:rPr>
        <w:t>（三）一般公共预算财政拨款支出决算具体情况</w:t>
      </w:r>
      <w:bookmarkEnd w:id="53"/>
      <w:bookmarkEnd w:id="54"/>
    </w:p>
    <w:p>
      <w:pPr>
        <w:pageBreakBefore w:val="0"/>
        <w:kinsoku/>
        <w:wordWrap/>
        <w:overflowPunct/>
        <w:topLinePunct w:val="0"/>
        <w:bidi w:val="0"/>
        <w:spacing w:line="560" w:lineRule="exact"/>
        <w:ind w:firstLine="643" w:firstLineChars="200"/>
        <w:outlineLvl w:val="2"/>
        <w:rPr>
          <w:rFonts w:hint="eastAsia" w:ascii="仿宋_GB2312" w:hAnsi="仿宋_GB2312" w:eastAsia="仿宋_GB2312" w:cs="仿宋_GB2312"/>
          <w:color w:val="FF0000"/>
          <w:sz w:val="32"/>
          <w:szCs w:val="32"/>
        </w:rPr>
      </w:pPr>
      <w:bookmarkStart w:id="55" w:name="_Toc15378460"/>
      <w:bookmarkStart w:id="56" w:name="_Toc15377444"/>
      <w:bookmarkStart w:id="57" w:name="_Toc21678"/>
      <w:bookmarkStart w:id="58" w:name="_Toc15377213"/>
      <w:r>
        <w:rPr>
          <w:rFonts w:hint="eastAsia" w:ascii="仿宋_GB2312" w:hAnsi="仿宋_GB2312" w:eastAsia="仿宋_GB2312" w:cs="仿宋_GB2312"/>
          <w:b/>
          <w:color w:val="000000" w:themeColor="text1"/>
          <w:sz w:val="32"/>
          <w:szCs w:val="32"/>
        </w:rPr>
        <w:t>2019年</w:t>
      </w:r>
      <w:r>
        <w:rPr>
          <w:rFonts w:hint="eastAsia" w:ascii="仿宋_GB2312" w:hAnsi="仿宋_GB2312" w:eastAsia="仿宋_GB2312" w:cs="仿宋_GB2312"/>
          <w:b/>
          <w:color w:val="000000" w:themeColor="text1"/>
          <w:sz w:val="32"/>
          <w:szCs w:val="32"/>
          <w:lang w:eastAsia="zh-CN"/>
        </w:rPr>
        <w:t>一</w:t>
      </w:r>
      <w:r>
        <w:rPr>
          <w:rFonts w:hint="eastAsia" w:ascii="仿宋_GB2312" w:hAnsi="仿宋_GB2312" w:eastAsia="仿宋_GB2312" w:cs="仿宋_GB2312"/>
          <w:b/>
          <w:color w:val="000000" w:themeColor="text1"/>
          <w:sz w:val="32"/>
          <w:szCs w:val="32"/>
        </w:rPr>
        <w:t>般公共预算支出决算数为</w:t>
      </w:r>
      <w:r>
        <w:rPr>
          <w:rFonts w:hint="eastAsia" w:ascii="仿宋_GB2312" w:hAnsi="仿宋_GB2312" w:eastAsia="仿宋_GB2312" w:cs="仿宋_GB2312"/>
          <w:b/>
          <w:color w:val="000000" w:themeColor="text1"/>
          <w:sz w:val="32"/>
          <w:szCs w:val="32"/>
          <w:lang w:val="en-US" w:eastAsia="zh-CN"/>
        </w:rPr>
        <w:t>669.29万元</w:t>
      </w:r>
      <w:r>
        <w:rPr>
          <w:rFonts w:hint="eastAsia" w:ascii="仿宋_GB2312" w:hAnsi="仿宋_GB2312" w:eastAsia="仿宋_GB2312" w:cs="仿宋_GB2312"/>
          <w:color w:val="000000" w:themeColor="text1"/>
          <w:sz w:val="32"/>
          <w:szCs w:val="32"/>
        </w:rPr>
        <w:t>，</w:t>
      </w:r>
      <w:r>
        <w:rPr>
          <w:rStyle w:val="17"/>
          <w:rFonts w:hint="eastAsia" w:ascii="仿宋_GB2312" w:hAnsi="仿宋_GB2312" w:eastAsia="仿宋_GB2312" w:cs="仿宋_GB2312"/>
          <w:bCs/>
          <w:color w:val="000000" w:themeColor="text1"/>
          <w:sz w:val="32"/>
          <w:szCs w:val="32"/>
        </w:rPr>
        <w:t>完成</w:t>
      </w:r>
      <w:r>
        <w:rPr>
          <w:rStyle w:val="17"/>
          <w:rFonts w:hint="eastAsia" w:ascii="仿宋_GB2312" w:hAnsi="仿宋_GB2312" w:eastAsia="仿宋_GB2312" w:cs="仿宋_GB2312"/>
          <w:bCs/>
          <w:color w:val="000000"/>
          <w:sz w:val="32"/>
          <w:szCs w:val="32"/>
        </w:rPr>
        <w:t>预算</w:t>
      </w:r>
      <w:r>
        <w:rPr>
          <w:rStyle w:val="17"/>
          <w:rFonts w:hint="eastAsia" w:ascii="仿宋_GB2312" w:hAnsi="仿宋_GB2312" w:eastAsia="仿宋_GB2312" w:cs="仿宋_GB2312"/>
          <w:bCs/>
          <w:color w:val="000000"/>
          <w:sz w:val="32"/>
          <w:szCs w:val="32"/>
          <w:lang w:val="en-US" w:eastAsia="zh-CN"/>
        </w:rPr>
        <w:t>83.05</w:t>
      </w:r>
      <w:r>
        <w:rPr>
          <w:rStyle w:val="17"/>
          <w:rFonts w:hint="eastAsia" w:ascii="仿宋_GB2312" w:hAnsi="仿宋_GB2312" w:eastAsia="仿宋_GB2312" w:cs="仿宋_GB2312"/>
          <w:bCs/>
          <w:color w:val="000000"/>
          <w:sz w:val="32"/>
          <w:szCs w:val="32"/>
        </w:rPr>
        <w:t>%。其中：</w:t>
      </w:r>
      <w:bookmarkEnd w:id="55"/>
      <w:bookmarkEnd w:id="56"/>
      <w:bookmarkEnd w:id="57"/>
      <w:bookmarkEnd w:id="58"/>
    </w:p>
    <w:p>
      <w:pPr>
        <w:pageBreakBefore w:val="0"/>
        <w:numPr>
          <w:ilvl w:val="0"/>
          <w:numId w:val="0"/>
        </w:numPr>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auto"/>
          <w:sz w:val="32"/>
          <w:szCs w:val="32"/>
          <w:lang w:eastAsia="zh-CN"/>
        </w:rPr>
      </w:pPr>
      <w:r>
        <w:rPr>
          <w:rStyle w:val="17"/>
          <w:rFonts w:hint="eastAsia" w:ascii="仿宋_GB2312" w:hAnsi="仿宋_GB2312" w:eastAsia="仿宋_GB2312" w:cs="仿宋_GB2312"/>
          <w:color w:val="auto"/>
          <w:sz w:val="32"/>
          <w:szCs w:val="32"/>
          <w:lang w:val="en-US" w:eastAsia="zh-CN"/>
        </w:rPr>
        <w:t>1、</w:t>
      </w:r>
      <w:r>
        <w:rPr>
          <w:rStyle w:val="17"/>
          <w:rFonts w:hint="eastAsia" w:ascii="仿宋_GB2312" w:hAnsi="仿宋_GB2312" w:eastAsia="仿宋_GB2312" w:cs="仿宋_GB2312"/>
          <w:color w:val="auto"/>
          <w:sz w:val="32"/>
          <w:szCs w:val="32"/>
        </w:rPr>
        <w:t>一般公共服务（类）档案事务（款）行政运行（项）</w:t>
      </w:r>
      <w:r>
        <w:rPr>
          <w:rStyle w:val="17"/>
          <w:rFonts w:hint="eastAsia" w:ascii="仿宋_GB2312" w:hAnsi="仿宋_GB2312" w:eastAsia="仿宋_GB2312" w:cs="仿宋_GB2312"/>
          <w:bCs/>
          <w:color w:val="auto"/>
          <w:sz w:val="32"/>
          <w:szCs w:val="32"/>
        </w:rPr>
        <w:t>:</w:t>
      </w:r>
      <w:r>
        <w:rPr>
          <w:rStyle w:val="17"/>
          <w:rFonts w:hint="eastAsia" w:ascii="仿宋_GB2312" w:hAnsi="仿宋_GB2312" w:eastAsia="仿宋_GB2312" w:cs="仿宋_GB2312"/>
          <w:b w:val="0"/>
          <w:bCs/>
          <w:color w:val="auto"/>
          <w:sz w:val="32"/>
          <w:szCs w:val="32"/>
        </w:rPr>
        <w:t>支出决算为</w:t>
      </w:r>
      <w:r>
        <w:rPr>
          <w:rStyle w:val="17"/>
          <w:rFonts w:hint="eastAsia" w:ascii="仿宋_GB2312" w:hAnsi="仿宋_GB2312" w:eastAsia="仿宋_GB2312" w:cs="仿宋_GB2312"/>
          <w:b w:val="0"/>
          <w:bCs/>
          <w:color w:val="auto"/>
          <w:sz w:val="32"/>
          <w:szCs w:val="32"/>
          <w:lang w:val="en-US" w:eastAsia="zh-CN"/>
        </w:rPr>
        <w:t>411.02</w:t>
      </w:r>
      <w:r>
        <w:rPr>
          <w:rStyle w:val="17"/>
          <w:rFonts w:hint="eastAsia" w:ascii="仿宋_GB2312" w:hAnsi="仿宋_GB2312" w:eastAsia="仿宋_GB2312" w:cs="仿宋_GB2312"/>
          <w:b w:val="0"/>
          <w:bCs/>
          <w:color w:val="auto"/>
          <w:sz w:val="32"/>
          <w:szCs w:val="32"/>
        </w:rPr>
        <w:t>万元，完成预算</w:t>
      </w:r>
      <w:r>
        <w:rPr>
          <w:rStyle w:val="17"/>
          <w:rFonts w:hint="eastAsia" w:ascii="仿宋_GB2312" w:hAnsi="仿宋_GB2312" w:eastAsia="仿宋_GB2312" w:cs="仿宋_GB2312"/>
          <w:b w:val="0"/>
          <w:bCs/>
          <w:color w:val="auto"/>
          <w:sz w:val="32"/>
          <w:szCs w:val="32"/>
          <w:lang w:val="en-US" w:eastAsia="zh-CN"/>
        </w:rPr>
        <w:t>97.86</w:t>
      </w:r>
      <w:r>
        <w:rPr>
          <w:rStyle w:val="17"/>
          <w:rFonts w:hint="eastAsia" w:ascii="仿宋_GB2312" w:hAnsi="仿宋_GB2312" w:eastAsia="仿宋_GB2312" w:cs="仿宋_GB2312"/>
          <w:b w:val="0"/>
          <w:bCs/>
          <w:color w:val="auto"/>
          <w:sz w:val="32"/>
          <w:szCs w:val="32"/>
        </w:rPr>
        <w:t>%</w:t>
      </w:r>
      <w:r>
        <w:rPr>
          <w:rStyle w:val="17"/>
          <w:rFonts w:hint="eastAsia" w:ascii="仿宋_GB2312" w:hAnsi="仿宋_GB2312" w:eastAsia="仿宋_GB2312" w:cs="仿宋_GB2312"/>
          <w:b w:val="0"/>
          <w:bCs/>
          <w:color w:val="auto"/>
          <w:sz w:val="32"/>
          <w:szCs w:val="32"/>
          <w:lang w:eastAsia="zh-CN"/>
        </w:rPr>
        <w:t>，</w:t>
      </w:r>
      <w:r>
        <w:rPr>
          <w:rStyle w:val="17"/>
          <w:rFonts w:hint="eastAsia" w:ascii="仿宋_GB2312" w:hAnsi="仿宋_GB2312" w:eastAsia="仿宋_GB2312" w:cs="仿宋_GB2312"/>
          <w:b w:val="0"/>
          <w:bCs/>
          <w:color w:val="000000"/>
          <w:sz w:val="32"/>
          <w:szCs w:val="32"/>
        </w:rPr>
        <w:t>决算数小于预算数</w:t>
      </w:r>
      <w:r>
        <w:rPr>
          <w:rStyle w:val="17"/>
          <w:rFonts w:hint="eastAsia" w:ascii="仿宋_GB2312" w:hAnsi="仿宋_GB2312" w:eastAsia="仿宋_GB2312" w:cs="仿宋_GB2312"/>
          <w:b w:val="0"/>
          <w:bCs/>
          <w:color w:val="auto"/>
          <w:sz w:val="32"/>
          <w:szCs w:val="32"/>
          <w:lang w:eastAsia="zh-CN"/>
        </w:rPr>
        <w:t>主要原因是继续认真贯彻厉行节俭有关规定，加强单位经费管理，节省一般性支出，剩余经费财政收回。</w:t>
      </w:r>
    </w:p>
    <w:p>
      <w:pPr>
        <w:pageBreakBefore w:val="0"/>
        <w:numPr>
          <w:ilvl w:val="0"/>
          <w:numId w:val="0"/>
        </w:numPr>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auto"/>
          <w:sz w:val="32"/>
          <w:szCs w:val="32"/>
          <w:lang w:eastAsia="zh-CN"/>
        </w:rPr>
      </w:pPr>
      <w:r>
        <w:rPr>
          <w:rStyle w:val="17"/>
          <w:rFonts w:hint="eastAsia" w:ascii="仿宋_GB2312" w:hAnsi="仿宋_GB2312" w:eastAsia="仿宋_GB2312" w:cs="仿宋_GB2312"/>
          <w:color w:val="auto"/>
          <w:sz w:val="32"/>
          <w:szCs w:val="32"/>
          <w:lang w:val="en-US" w:eastAsia="zh-CN"/>
        </w:rPr>
        <w:t>2、</w:t>
      </w:r>
      <w:r>
        <w:rPr>
          <w:rStyle w:val="17"/>
          <w:rFonts w:hint="eastAsia" w:ascii="仿宋_GB2312" w:hAnsi="仿宋_GB2312" w:eastAsia="仿宋_GB2312" w:cs="仿宋_GB2312"/>
          <w:color w:val="auto"/>
          <w:sz w:val="32"/>
          <w:szCs w:val="32"/>
        </w:rPr>
        <w:t>一般公共服务（类）档案事务（款）</w:t>
      </w:r>
      <w:r>
        <w:rPr>
          <w:rStyle w:val="17"/>
          <w:rFonts w:hint="eastAsia" w:ascii="仿宋_GB2312" w:hAnsi="仿宋_GB2312" w:eastAsia="仿宋_GB2312" w:cs="仿宋_GB2312"/>
          <w:color w:val="auto"/>
          <w:sz w:val="32"/>
          <w:szCs w:val="32"/>
          <w:lang w:eastAsia="zh-CN"/>
        </w:rPr>
        <w:t>一般行政管理事务</w:t>
      </w:r>
      <w:r>
        <w:rPr>
          <w:rStyle w:val="17"/>
          <w:rFonts w:hint="eastAsia" w:ascii="仿宋_GB2312" w:hAnsi="仿宋_GB2312" w:eastAsia="仿宋_GB2312" w:cs="仿宋_GB2312"/>
          <w:color w:val="auto"/>
          <w:sz w:val="32"/>
          <w:szCs w:val="32"/>
        </w:rPr>
        <w:t>（项）</w:t>
      </w:r>
      <w:r>
        <w:rPr>
          <w:rStyle w:val="17"/>
          <w:rFonts w:hint="eastAsia" w:ascii="仿宋_GB2312" w:hAnsi="仿宋_GB2312" w:eastAsia="仿宋_GB2312" w:cs="仿宋_GB2312"/>
          <w:bCs/>
          <w:color w:val="auto"/>
          <w:sz w:val="32"/>
          <w:szCs w:val="32"/>
        </w:rPr>
        <w:t>:</w:t>
      </w:r>
      <w:r>
        <w:rPr>
          <w:rStyle w:val="17"/>
          <w:rFonts w:hint="eastAsia" w:ascii="仿宋_GB2312" w:hAnsi="仿宋_GB2312" w:eastAsia="仿宋_GB2312" w:cs="仿宋_GB2312"/>
          <w:b w:val="0"/>
          <w:bCs/>
          <w:color w:val="auto"/>
          <w:sz w:val="32"/>
          <w:szCs w:val="32"/>
          <w:lang w:val="en-US" w:eastAsia="zh-CN"/>
        </w:rPr>
        <w:t>支出决算为3.72万元，完成预算的100%。</w:t>
      </w:r>
    </w:p>
    <w:p>
      <w:pPr>
        <w:pageBreakBefore w:val="0"/>
        <w:numPr>
          <w:ilvl w:val="0"/>
          <w:numId w:val="0"/>
        </w:numPr>
        <w:kinsoku/>
        <w:wordWrap/>
        <w:overflowPunct/>
        <w:topLinePunct w:val="0"/>
        <w:bidi w:val="0"/>
        <w:spacing w:line="560" w:lineRule="exact"/>
        <w:ind w:firstLine="643" w:firstLineChars="200"/>
        <w:rPr>
          <w:rFonts w:hint="eastAsia" w:ascii="仿宋_GB2312" w:hAnsi="仿宋_GB2312" w:eastAsia="仿宋_GB2312" w:cs="仿宋_GB2312"/>
          <w:sz w:val="32"/>
          <w:szCs w:val="32"/>
          <w:lang w:eastAsia="zh-CN"/>
        </w:rPr>
      </w:pPr>
      <w:r>
        <w:rPr>
          <w:rStyle w:val="17"/>
          <w:rFonts w:hint="eastAsia" w:ascii="仿宋_GB2312" w:hAnsi="仿宋_GB2312" w:eastAsia="仿宋_GB2312" w:cs="仿宋_GB2312"/>
          <w:bCs/>
          <w:color w:val="000000"/>
          <w:sz w:val="32"/>
          <w:szCs w:val="32"/>
          <w:lang w:val="en-US" w:eastAsia="zh-CN"/>
        </w:rPr>
        <w:t>3、</w:t>
      </w:r>
      <w:r>
        <w:rPr>
          <w:rStyle w:val="17"/>
          <w:rFonts w:hint="eastAsia" w:ascii="仿宋_GB2312" w:hAnsi="仿宋_GB2312" w:eastAsia="仿宋_GB2312" w:cs="仿宋_GB2312"/>
          <w:bCs/>
          <w:color w:val="000000"/>
          <w:sz w:val="32"/>
          <w:szCs w:val="32"/>
        </w:rPr>
        <w:t>一般公共服务（类）档案事务（款）档案馆（项）:</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138.55</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54.36</w:t>
      </w:r>
      <w:r>
        <w:rPr>
          <w:rStyle w:val="17"/>
          <w:rFonts w:hint="eastAsia" w:ascii="仿宋_GB2312" w:hAnsi="仿宋_GB2312" w:eastAsia="仿宋_GB2312" w:cs="仿宋_GB2312"/>
          <w:b w:val="0"/>
          <w:bCs/>
          <w:color w:val="000000"/>
          <w:sz w:val="32"/>
          <w:szCs w:val="32"/>
        </w:rPr>
        <w:t>%，决算数小于预算数的主要原因是</w:t>
      </w:r>
      <w:r>
        <w:rPr>
          <w:rStyle w:val="17"/>
          <w:rFonts w:hint="eastAsia" w:ascii="仿宋_GB2312" w:hAnsi="仿宋_GB2312" w:eastAsia="仿宋_GB2312" w:cs="仿宋_GB2312"/>
          <w:b w:val="0"/>
          <w:bCs/>
          <w:color w:val="000000"/>
          <w:sz w:val="32"/>
          <w:szCs w:val="32"/>
          <w:lang w:val="en-US" w:eastAsia="zh-CN"/>
        </w:rPr>
        <w:t>2019年因机构改革，职能、人员变动较大，导致部分项目未启动实施或启动较晚。</w:t>
      </w:r>
      <w:r>
        <w:rPr>
          <w:rFonts w:hint="eastAsia" w:ascii="仿宋_GB2312" w:hAnsi="仿宋_GB2312" w:eastAsia="仿宋_GB2312" w:cs="仿宋_GB2312"/>
          <w:sz w:val="32"/>
          <w:szCs w:val="32"/>
          <w:lang w:eastAsia="zh-CN"/>
        </w:rPr>
        <w:t>剩余经费除采购资金未被收回外，其余项目资金均收归财政。</w:t>
      </w:r>
    </w:p>
    <w:p>
      <w:pPr>
        <w:pageBreakBefore w:val="0"/>
        <w:numPr>
          <w:ilvl w:val="0"/>
          <w:numId w:val="0"/>
        </w:numPr>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000000"/>
          <w:kern w:val="2"/>
          <w:sz w:val="32"/>
          <w:szCs w:val="32"/>
          <w:lang w:val="en-US" w:eastAsia="zh-CN" w:bidi="ar-SA"/>
        </w:rPr>
      </w:pPr>
      <w:r>
        <w:rPr>
          <w:rStyle w:val="17"/>
          <w:rFonts w:hint="eastAsia" w:ascii="仿宋_GB2312" w:hAnsi="仿宋_GB2312" w:eastAsia="仿宋_GB2312" w:cs="仿宋_GB2312"/>
          <w:sz w:val="32"/>
          <w:szCs w:val="32"/>
          <w:lang w:val="en-US" w:eastAsia="zh-CN"/>
        </w:rPr>
        <w:t>4、</w:t>
      </w:r>
      <w:r>
        <w:rPr>
          <w:rStyle w:val="17"/>
          <w:rFonts w:hint="eastAsia" w:ascii="仿宋_GB2312" w:hAnsi="仿宋_GB2312" w:eastAsia="仿宋_GB2312" w:cs="仿宋_GB2312"/>
          <w:sz w:val="32"/>
          <w:szCs w:val="32"/>
        </w:rPr>
        <w:t>社会保障和就业（类）行政事业单位离退休（款）</w:t>
      </w:r>
      <w:r>
        <w:rPr>
          <w:rStyle w:val="17"/>
          <w:rFonts w:hint="eastAsia" w:ascii="仿宋_GB2312" w:hAnsi="仿宋_GB2312" w:eastAsia="仿宋_GB2312" w:cs="仿宋_GB2312"/>
          <w:sz w:val="32"/>
          <w:szCs w:val="32"/>
          <w:lang w:eastAsia="zh-CN"/>
        </w:rPr>
        <w:t>事业单位离退休</w:t>
      </w:r>
      <w:r>
        <w:rPr>
          <w:rStyle w:val="17"/>
          <w:rFonts w:hint="eastAsia" w:ascii="仿宋_GB2312" w:hAnsi="仿宋_GB2312" w:eastAsia="仿宋_GB2312" w:cs="仿宋_GB2312"/>
          <w:sz w:val="32"/>
          <w:szCs w:val="32"/>
        </w:rPr>
        <w:t>（项）</w:t>
      </w:r>
      <w:r>
        <w:rPr>
          <w:rStyle w:val="17"/>
          <w:rFonts w:hint="eastAsia" w:ascii="仿宋_GB2312" w:hAnsi="仿宋_GB2312" w:eastAsia="仿宋_GB2312" w:cs="仿宋_GB2312"/>
          <w:sz w:val="32"/>
          <w:szCs w:val="32"/>
          <w:lang w:eastAsia="zh-CN"/>
        </w:rPr>
        <w:t>：</w:t>
      </w:r>
      <w:r>
        <w:rPr>
          <w:rStyle w:val="17"/>
          <w:rFonts w:hint="eastAsia" w:ascii="仿宋_GB2312" w:hAnsi="仿宋_GB2312" w:eastAsia="仿宋_GB2312" w:cs="仿宋_GB2312"/>
          <w:b w:val="0"/>
          <w:bCs/>
          <w:color w:val="000000"/>
          <w:kern w:val="2"/>
          <w:sz w:val="32"/>
          <w:szCs w:val="32"/>
          <w:lang w:val="en-US" w:eastAsia="zh-CN" w:bidi="ar-SA"/>
        </w:rPr>
        <w:t>支出决算为2.61万元，完成预算67.62%。</w:t>
      </w:r>
      <w:r>
        <w:rPr>
          <w:rStyle w:val="17"/>
          <w:rFonts w:hint="eastAsia" w:ascii="仿宋_GB2312" w:hAnsi="仿宋_GB2312" w:eastAsia="仿宋_GB2312" w:cs="仿宋_GB2312"/>
          <w:b w:val="0"/>
          <w:bCs/>
          <w:color w:val="000000"/>
          <w:sz w:val="32"/>
          <w:szCs w:val="32"/>
          <w:lang w:eastAsia="zh-CN"/>
        </w:rPr>
        <w:t>决算数小于预算数主要原因是人员变动，中途有去世的退休职工，剩余经费财政已收回。</w:t>
      </w:r>
    </w:p>
    <w:p>
      <w:pPr>
        <w:pageBreakBefore w:val="0"/>
        <w:kinsoku/>
        <w:wordWrap/>
        <w:overflowPunct/>
        <w:topLinePunct w:val="0"/>
        <w:bidi w:val="0"/>
        <w:spacing w:line="560" w:lineRule="exact"/>
        <w:ind w:firstLine="643" w:firstLineChars="200"/>
        <w:rPr>
          <w:rFonts w:hint="eastAsia" w:ascii="仿宋_GB2312" w:hAnsi="仿宋_GB2312" w:eastAsia="仿宋_GB2312" w:cs="仿宋_GB2312"/>
          <w:b/>
          <w:color w:val="000000"/>
          <w:sz w:val="32"/>
          <w:szCs w:val="32"/>
        </w:rPr>
      </w:pPr>
      <w:r>
        <w:rPr>
          <w:rStyle w:val="17"/>
          <w:rFonts w:hint="eastAsia" w:ascii="仿宋_GB2312" w:hAnsi="仿宋_GB2312" w:eastAsia="仿宋_GB2312" w:cs="仿宋_GB2312"/>
          <w:sz w:val="32"/>
          <w:szCs w:val="32"/>
          <w:lang w:val="en-US" w:eastAsia="zh-CN"/>
        </w:rPr>
        <w:t>5、</w:t>
      </w:r>
      <w:r>
        <w:rPr>
          <w:rStyle w:val="17"/>
          <w:rFonts w:hint="eastAsia" w:ascii="仿宋_GB2312" w:hAnsi="仿宋_GB2312" w:eastAsia="仿宋_GB2312" w:cs="仿宋_GB2312"/>
          <w:sz w:val="32"/>
          <w:szCs w:val="32"/>
        </w:rPr>
        <w:t>社会保障和就业（类）行政事业单位离退休（款）机关事业单位基本养老保险缴费（项）</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34.86</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 xml:space="preserve">85.29 </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000000"/>
          <w:sz w:val="32"/>
          <w:szCs w:val="32"/>
          <w:lang w:eastAsia="zh-CN"/>
        </w:rPr>
        <w:t>决算数小于预算数主要原因是人员变动，中途有退休职工，剩余经费财政已收回。</w:t>
      </w:r>
    </w:p>
    <w:p>
      <w:pPr>
        <w:pageBreakBefore w:val="0"/>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b/>
          <w:bCs w:val="0"/>
          <w:color w:val="000000"/>
          <w:sz w:val="32"/>
          <w:szCs w:val="32"/>
          <w:lang w:val="en-US" w:eastAsia="zh-CN"/>
        </w:rPr>
        <w:t>6</w:t>
      </w:r>
      <w:r>
        <w:rPr>
          <w:rStyle w:val="17"/>
          <w:rFonts w:hint="eastAsia" w:ascii="仿宋_GB2312" w:hAnsi="仿宋_GB2312" w:eastAsia="仿宋_GB2312" w:cs="仿宋_GB2312"/>
          <w:sz w:val="32"/>
          <w:szCs w:val="32"/>
          <w:lang w:val="en-US" w:eastAsia="zh-CN"/>
        </w:rPr>
        <w:t>、</w:t>
      </w:r>
      <w:r>
        <w:rPr>
          <w:rStyle w:val="17"/>
          <w:rFonts w:hint="eastAsia" w:ascii="仿宋_GB2312" w:hAnsi="仿宋_GB2312" w:eastAsia="仿宋_GB2312" w:cs="仿宋_GB2312"/>
          <w:sz w:val="32"/>
          <w:szCs w:val="32"/>
        </w:rPr>
        <w:t>社会保障和就业（类）行政事业单位离退休（款）机关事业单位</w:t>
      </w:r>
      <w:r>
        <w:rPr>
          <w:rStyle w:val="17"/>
          <w:rFonts w:hint="eastAsia" w:ascii="仿宋_GB2312" w:hAnsi="仿宋_GB2312" w:eastAsia="仿宋_GB2312" w:cs="仿宋_GB2312"/>
          <w:sz w:val="32"/>
          <w:szCs w:val="32"/>
          <w:lang w:eastAsia="zh-CN"/>
        </w:rPr>
        <w:t>职业年金缴费支出</w:t>
      </w:r>
      <w:r>
        <w:rPr>
          <w:rStyle w:val="17"/>
          <w:rFonts w:hint="eastAsia" w:ascii="仿宋_GB2312" w:hAnsi="仿宋_GB2312" w:eastAsia="仿宋_GB2312" w:cs="仿宋_GB2312"/>
          <w:sz w:val="32"/>
          <w:szCs w:val="32"/>
        </w:rPr>
        <w:t>（项）</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8.74</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100</w:t>
      </w:r>
      <w:r>
        <w:rPr>
          <w:rStyle w:val="17"/>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000000"/>
          <w:sz w:val="32"/>
          <w:szCs w:val="32"/>
        </w:rPr>
      </w:pPr>
      <w:r>
        <w:rPr>
          <w:rStyle w:val="17"/>
          <w:rFonts w:hint="eastAsia" w:ascii="仿宋_GB2312" w:hAnsi="仿宋_GB2312" w:eastAsia="仿宋_GB2312" w:cs="仿宋_GB2312"/>
          <w:sz w:val="32"/>
          <w:szCs w:val="32"/>
          <w:lang w:val="en-US" w:eastAsia="zh-CN"/>
        </w:rPr>
        <w:t>7、</w:t>
      </w:r>
      <w:r>
        <w:rPr>
          <w:rStyle w:val="17"/>
          <w:rFonts w:hint="eastAsia" w:ascii="仿宋_GB2312" w:hAnsi="仿宋_GB2312" w:eastAsia="仿宋_GB2312" w:cs="仿宋_GB2312"/>
          <w:sz w:val="32"/>
          <w:szCs w:val="32"/>
        </w:rPr>
        <w:t>社会保障和就业（类）</w:t>
      </w:r>
      <w:r>
        <w:rPr>
          <w:rStyle w:val="17"/>
          <w:rFonts w:hint="eastAsia" w:ascii="仿宋_GB2312" w:hAnsi="仿宋_GB2312" w:eastAsia="仿宋_GB2312" w:cs="仿宋_GB2312"/>
          <w:sz w:val="32"/>
          <w:szCs w:val="32"/>
          <w:lang w:eastAsia="zh-CN"/>
        </w:rPr>
        <w:t>抚恤</w:t>
      </w:r>
      <w:r>
        <w:rPr>
          <w:rStyle w:val="17"/>
          <w:rFonts w:hint="eastAsia" w:ascii="仿宋_GB2312" w:hAnsi="仿宋_GB2312" w:eastAsia="仿宋_GB2312" w:cs="仿宋_GB2312"/>
          <w:sz w:val="32"/>
          <w:szCs w:val="32"/>
        </w:rPr>
        <w:t>（款）</w:t>
      </w:r>
      <w:r>
        <w:rPr>
          <w:rStyle w:val="17"/>
          <w:rFonts w:hint="eastAsia" w:ascii="仿宋_GB2312" w:hAnsi="仿宋_GB2312" w:eastAsia="仿宋_GB2312" w:cs="仿宋_GB2312"/>
          <w:sz w:val="32"/>
          <w:szCs w:val="32"/>
          <w:lang w:eastAsia="zh-CN"/>
        </w:rPr>
        <w:t>死亡抚恤</w:t>
      </w:r>
      <w:r>
        <w:rPr>
          <w:rStyle w:val="17"/>
          <w:rFonts w:hint="eastAsia" w:ascii="仿宋_GB2312" w:hAnsi="仿宋_GB2312" w:eastAsia="仿宋_GB2312" w:cs="仿宋_GB2312"/>
          <w:sz w:val="32"/>
          <w:szCs w:val="32"/>
        </w:rPr>
        <w:t>（项）</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18.22</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100</w:t>
      </w:r>
      <w:r>
        <w:rPr>
          <w:rStyle w:val="17"/>
          <w:rFonts w:hint="eastAsia" w:ascii="仿宋_GB2312" w:hAnsi="仿宋_GB2312" w:eastAsia="仿宋_GB2312" w:cs="仿宋_GB2312"/>
          <w:b w:val="0"/>
          <w:bCs/>
          <w:color w:val="000000"/>
          <w:sz w:val="32"/>
          <w:szCs w:val="32"/>
        </w:rPr>
        <w:t>%。</w:t>
      </w:r>
    </w:p>
    <w:p>
      <w:pPr>
        <w:pageBreakBefore w:val="0"/>
        <w:kinsoku/>
        <w:wordWrap/>
        <w:overflowPunct/>
        <w:topLinePunct w:val="0"/>
        <w:bidi w:val="0"/>
        <w:spacing w:line="560" w:lineRule="exact"/>
        <w:ind w:firstLine="643" w:firstLineChars="200"/>
        <w:rPr>
          <w:rFonts w:hint="eastAsia" w:ascii="仿宋_GB2312" w:hAnsi="仿宋_GB2312" w:eastAsia="仿宋_GB2312" w:cs="仿宋_GB2312"/>
          <w:b/>
          <w:color w:val="000000"/>
          <w:sz w:val="32"/>
          <w:szCs w:val="32"/>
        </w:rPr>
      </w:pPr>
      <w:r>
        <w:rPr>
          <w:rStyle w:val="17"/>
          <w:rFonts w:hint="eastAsia" w:ascii="仿宋_GB2312" w:hAnsi="仿宋_GB2312" w:eastAsia="仿宋_GB2312" w:cs="仿宋_GB2312"/>
          <w:sz w:val="32"/>
          <w:szCs w:val="32"/>
          <w:lang w:val="en-US" w:eastAsia="zh-CN"/>
        </w:rPr>
        <w:t>8、</w:t>
      </w:r>
      <w:r>
        <w:rPr>
          <w:rStyle w:val="17"/>
          <w:rFonts w:hint="eastAsia" w:ascii="仿宋_GB2312" w:hAnsi="仿宋_GB2312" w:eastAsia="仿宋_GB2312" w:cs="仿宋_GB2312"/>
          <w:sz w:val="32"/>
          <w:szCs w:val="32"/>
        </w:rPr>
        <w:t>社会保障和就业（类）</w:t>
      </w:r>
      <w:r>
        <w:rPr>
          <w:rStyle w:val="17"/>
          <w:rFonts w:hint="eastAsia" w:ascii="仿宋_GB2312" w:hAnsi="仿宋_GB2312" w:eastAsia="仿宋_GB2312" w:cs="仿宋_GB2312"/>
          <w:sz w:val="32"/>
          <w:szCs w:val="32"/>
          <w:lang w:eastAsia="zh-CN"/>
        </w:rPr>
        <w:t>其他社会保障和就业（款）其他社会保障和就业</w:t>
      </w:r>
      <w:r>
        <w:rPr>
          <w:rStyle w:val="17"/>
          <w:rFonts w:hint="eastAsia" w:ascii="仿宋_GB2312" w:hAnsi="仿宋_GB2312" w:eastAsia="仿宋_GB2312" w:cs="仿宋_GB2312"/>
          <w:sz w:val="32"/>
          <w:szCs w:val="32"/>
        </w:rPr>
        <w:t>（项）</w:t>
      </w:r>
      <w:r>
        <w:rPr>
          <w:rStyle w:val="17"/>
          <w:rFonts w:hint="eastAsia" w:ascii="仿宋_GB2312" w:hAnsi="仿宋_GB2312" w:eastAsia="仿宋_GB2312" w:cs="仿宋_GB2312"/>
          <w:bCs/>
          <w:color w:val="000000"/>
          <w:sz w:val="32"/>
          <w:szCs w:val="32"/>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1.61</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 xml:space="preserve">96.99 </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000000"/>
          <w:sz w:val="32"/>
          <w:szCs w:val="32"/>
          <w:lang w:eastAsia="zh-CN"/>
        </w:rPr>
        <w:t>决算数小于预算数主要原因是人员变动，中途有退休职工，剩余经费财政已收回。</w:t>
      </w:r>
    </w:p>
    <w:p>
      <w:pPr>
        <w:pageBreakBefore w:val="0"/>
        <w:kinsoku/>
        <w:wordWrap/>
        <w:overflowPunct/>
        <w:topLinePunct w:val="0"/>
        <w:bidi w:val="0"/>
        <w:spacing w:line="560" w:lineRule="exact"/>
        <w:ind w:firstLine="643" w:firstLineChars="200"/>
        <w:rPr>
          <w:rFonts w:hint="eastAsia" w:ascii="仿宋_GB2312" w:hAnsi="仿宋_GB2312" w:eastAsia="仿宋_GB2312" w:cs="仿宋_GB2312"/>
          <w:b/>
          <w:color w:val="000000"/>
          <w:sz w:val="32"/>
          <w:szCs w:val="32"/>
        </w:rPr>
      </w:pPr>
      <w:r>
        <w:rPr>
          <w:rStyle w:val="17"/>
          <w:rFonts w:hint="eastAsia" w:ascii="仿宋_GB2312" w:hAnsi="仿宋_GB2312" w:eastAsia="仿宋_GB2312" w:cs="仿宋_GB2312"/>
          <w:bCs/>
          <w:color w:val="000000"/>
          <w:sz w:val="32"/>
          <w:szCs w:val="32"/>
          <w:lang w:val="en-US" w:eastAsia="zh-CN"/>
        </w:rPr>
        <w:t>9、</w:t>
      </w:r>
      <w:r>
        <w:rPr>
          <w:rStyle w:val="17"/>
          <w:rFonts w:hint="eastAsia" w:ascii="仿宋_GB2312" w:hAnsi="仿宋_GB2312" w:eastAsia="仿宋_GB2312" w:cs="仿宋_GB2312"/>
          <w:sz w:val="32"/>
          <w:szCs w:val="32"/>
        </w:rPr>
        <w:t>医疗卫生与计划生育（类）医疗保障（款）事业单位医疗（项）</w:t>
      </w:r>
      <w:r>
        <w:rPr>
          <w:rStyle w:val="17"/>
          <w:rFonts w:hint="eastAsia" w:ascii="仿宋_GB2312" w:hAnsi="仿宋_GB2312" w:eastAsia="仿宋_GB2312" w:cs="仿宋_GB2312"/>
          <w:sz w:val="32"/>
          <w:szCs w:val="32"/>
          <w:lang w:eastAsia="zh-CN"/>
        </w:rPr>
        <w:t>：</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15.42</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97.66</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000000"/>
          <w:sz w:val="32"/>
          <w:szCs w:val="32"/>
          <w:lang w:eastAsia="zh-CN"/>
        </w:rPr>
        <w:t>，决算数小于预算数主要原因是人员变动，中途有退休职工，剩余经费财政已收回。</w:t>
      </w:r>
    </w:p>
    <w:p>
      <w:pPr>
        <w:pageBreakBefore w:val="0"/>
        <w:kinsoku/>
        <w:wordWrap/>
        <w:overflowPunct/>
        <w:topLinePunct w:val="0"/>
        <w:bidi w:val="0"/>
        <w:spacing w:line="560" w:lineRule="exact"/>
        <w:ind w:firstLine="643" w:firstLineChars="200"/>
        <w:rPr>
          <w:rStyle w:val="17"/>
          <w:rFonts w:hint="eastAsia" w:ascii="仿宋_GB2312" w:hAnsi="仿宋_GB2312" w:eastAsia="仿宋_GB2312" w:cs="仿宋_GB2312"/>
          <w:b w:val="0"/>
          <w:bCs/>
          <w:color w:val="000000"/>
          <w:sz w:val="32"/>
          <w:szCs w:val="32"/>
          <w:lang w:val="en-US" w:eastAsia="zh-CN"/>
        </w:rPr>
      </w:pPr>
      <w:r>
        <w:rPr>
          <w:rStyle w:val="17"/>
          <w:rFonts w:hint="eastAsia" w:ascii="仿宋_GB2312" w:hAnsi="仿宋_GB2312" w:eastAsia="仿宋_GB2312" w:cs="仿宋_GB2312"/>
          <w:sz w:val="32"/>
          <w:szCs w:val="32"/>
          <w:lang w:val="en-US" w:eastAsia="zh-CN"/>
        </w:rPr>
        <w:t>10、</w:t>
      </w:r>
      <w:r>
        <w:rPr>
          <w:rStyle w:val="17"/>
          <w:rFonts w:hint="eastAsia" w:ascii="仿宋_GB2312" w:hAnsi="仿宋_GB2312" w:eastAsia="仿宋_GB2312" w:cs="仿宋_GB2312"/>
          <w:sz w:val="32"/>
          <w:szCs w:val="32"/>
        </w:rPr>
        <w:t>住房保障（类）住房改革（款）住房公积金（项）:</w:t>
      </w:r>
      <w:r>
        <w:rPr>
          <w:rStyle w:val="17"/>
          <w:rFonts w:hint="eastAsia" w:ascii="仿宋_GB2312" w:hAnsi="仿宋_GB2312" w:eastAsia="仿宋_GB2312" w:cs="仿宋_GB2312"/>
          <w:b w:val="0"/>
          <w:bCs/>
          <w:color w:val="000000"/>
          <w:sz w:val="32"/>
          <w:szCs w:val="32"/>
        </w:rPr>
        <w:t>支出决算为</w:t>
      </w:r>
      <w:r>
        <w:rPr>
          <w:rStyle w:val="17"/>
          <w:rFonts w:hint="eastAsia" w:ascii="仿宋_GB2312" w:hAnsi="仿宋_GB2312" w:eastAsia="仿宋_GB2312" w:cs="仿宋_GB2312"/>
          <w:b w:val="0"/>
          <w:bCs/>
          <w:color w:val="000000"/>
          <w:sz w:val="32"/>
          <w:szCs w:val="32"/>
          <w:lang w:val="en-US" w:eastAsia="zh-CN"/>
        </w:rPr>
        <w:t>34.55</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90.62</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000000"/>
          <w:sz w:val="32"/>
          <w:szCs w:val="32"/>
          <w:lang w:eastAsia="zh-CN"/>
        </w:rPr>
        <w:t>。决算数小于预算数主要原因是人员变动，中途有退休职工，剩余经费财政已收回。</w:t>
      </w:r>
      <w:bookmarkStart w:id="59" w:name="_Toc15377214"/>
      <w:bookmarkStart w:id="60" w:name="_Toc26889"/>
      <w:bookmarkStart w:id="61" w:name="_Toc15396608"/>
      <w:r>
        <w:rPr>
          <w:rStyle w:val="17"/>
          <w:rFonts w:hint="eastAsia" w:ascii="仿宋_GB2312" w:hAnsi="仿宋_GB2312" w:eastAsia="仿宋_GB2312" w:cs="仿宋_GB2312"/>
          <w:b w:val="0"/>
          <w:bCs/>
          <w:color w:val="000000"/>
          <w:sz w:val="32"/>
          <w:szCs w:val="32"/>
          <w:lang w:val="en-US" w:eastAsia="zh-CN"/>
        </w:rPr>
        <w:t xml:space="preserve">   </w:t>
      </w:r>
    </w:p>
    <w:p>
      <w:pPr>
        <w:pageBreakBefore w:val="0"/>
        <w:kinsoku/>
        <w:wordWrap/>
        <w:overflowPunct/>
        <w:topLinePunct w:val="0"/>
        <w:bidi w:val="0"/>
        <w:spacing w:line="560" w:lineRule="exact"/>
        <w:ind w:firstLine="643" w:firstLineChars="200"/>
        <w:rPr>
          <w:rStyle w:val="28"/>
          <w:rFonts w:hint="eastAsia" w:ascii="仿宋_GB2312" w:hAnsi="仿宋_GB2312" w:eastAsia="仿宋_GB2312" w:cs="仿宋_GB2312"/>
        </w:rPr>
      </w:pPr>
      <w:r>
        <w:rPr>
          <w:rFonts w:hint="eastAsia" w:ascii="黑体" w:hAnsi="黑体" w:eastAsia="黑体" w:cs="黑体"/>
          <w:b/>
          <w:bCs/>
          <w:color w:val="000000"/>
          <w:kern w:val="2"/>
          <w:sz w:val="32"/>
          <w:szCs w:val="32"/>
          <w:lang w:val="en-US" w:eastAsia="zh-CN" w:bidi="ar-SA"/>
        </w:rPr>
        <w:t>六、一般公共预算财政拨款基本支出决算情况说明</w:t>
      </w:r>
      <w:bookmarkEnd w:id="59"/>
      <w:bookmarkEnd w:id="60"/>
      <w:bookmarkEnd w:id="61"/>
      <w:r>
        <w:rPr>
          <w:rStyle w:val="28"/>
          <w:rFonts w:hint="eastAsia" w:ascii="仿宋_GB2312" w:hAnsi="仿宋_GB2312" w:eastAsia="仿宋_GB2312" w:cs="仿宋_GB2312"/>
          <w:b w:val="0"/>
        </w:rPr>
        <w:tab/>
      </w:r>
    </w:p>
    <w:p>
      <w:pPr>
        <w:pageBreakBefore w:val="0"/>
        <w:kinsoku/>
        <w:wordWrap/>
        <w:overflowPunct/>
        <w:topLinePunct w:val="0"/>
        <w:bidi w:val="0"/>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527.03</w:t>
      </w:r>
      <w:r>
        <w:rPr>
          <w:rFonts w:hint="eastAsia" w:ascii="仿宋_GB2312" w:hAnsi="仿宋_GB2312" w:eastAsia="仿宋_GB2312" w:cs="仿宋_GB2312"/>
          <w:color w:val="000000"/>
          <w:sz w:val="32"/>
          <w:szCs w:val="32"/>
        </w:rPr>
        <w:t>万元，其中：</w:t>
      </w:r>
    </w:p>
    <w:p>
      <w:pPr>
        <w:pageBreakBefore w:val="0"/>
        <w:kinsoku/>
        <w:wordWrap/>
        <w:overflowPunct/>
        <w:topLinePunct w:val="0"/>
        <w:bidi w:val="0"/>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456.18</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w:t>
      </w:r>
      <w:r>
        <w:rPr>
          <w:rFonts w:hint="eastAsia" w:ascii="仿宋_GB2312" w:hAnsi="仿宋_GB2312" w:eastAsia="仿宋_GB2312" w:cs="仿宋_GB2312"/>
          <w:color w:val="000000"/>
          <w:sz w:val="32"/>
          <w:szCs w:val="32"/>
          <w:lang w:val="en-US" w:eastAsia="zh-CN"/>
        </w:rPr>
        <w:t>70.85</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62" w:name="_Toc15396609"/>
      <w:bookmarkStart w:id="63" w:name="_Toc28979"/>
      <w:bookmarkStart w:id="64" w:name="_Toc15377215"/>
    </w:p>
    <w:p>
      <w:pPr>
        <w:pageBreakBefore w:val="0"/>
        <w:kinsoku/>
        <w:wordWrap/>
        <w:overflowPunct/>
        <w:topLinePunct w:val="0"/>
        <w:bidi w:val="0"/>
        <w:spacing w:line="560" w:lineRule="exact"/>
        <w:ind w:firstLine="645"/>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七、“三公”经费财政拨款支出决算情况说明</w:t>
      </w:r>
      <w:bookmarkEnd w:id="62"/>
      <w:bookmarkEnd w:id="63"/>
      <w:bookmarkEnd w:id="64"/>
    </w:p>
    <w:p>
      <w:pPr>
        <w:pageBreakBefore w:val="0"/>
        <w:kinsoku/>
        <w:wordWrap/>
        <w:overflowPunct/>
        <w:topLinePunct w:val="0"/>
        <w:bidi w:val="0"/>
        <w:spacing w:line="560" w:lineRule="exact"/>
        <w:ind w:firstLine="640"/>
        <w:outlineLvl w:val="2"/>
        <w:rPr>
          <w:rFonts w:hint="eastAsia" w:ascii="楷体" w:hAnsi="楷体" w:eastAsia="楷体" w:cs="楷体"/>
          <w:b/>
          <w:color w:val="000000"/>
          <w:sz w:val="32"/>
          <w:szCs w:val="32"/>
        </w:rPr>
      </w:pPr>
      <w:bookmarkStart w:id="65" w:name="_Toc26933"/>
      <w:bookmarkStart w:id="66" w:name="_Toc15377216"/>
      <w:r>
        <w:rPr>
          <w:rFonts w:hint="eastAsia" w:ascii="楷体" w:hAnsi="楷体" w:eastAsia="楷体" w:cs="楷体"/>
          <w:b/>
          <w:color w:val="000000"/>
          <w:sz w:val="32"/>
          <w:szCs w:val="32"/>
        </w:rPr>
        <w:t>（一）“三公”经费财政拨款支出决算总体情况说明</w:t>
      </w:r>
      <w:bookmarkEnd w:id="65"/>
      <w:bookmarkEnd w:id="66"/>
    </w:p>
    <w:p>
      <w:pPr>
        <w:pStyle w:val="14"/>
        <w:pageBreakBefore w:val="0"/>
        <w:kinsoku/>
        <w:wordWrap/>
        <w:overflowPunct/>
        <w:topLinePunct w:val="0"/>
        <w:bidi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w:t>
      </w:r>
      <w:r>
        <w:rPr>
          <w:rFonts w:hint="eastAsia" w:ascii="仿宋_GB2312" w:hAnsi="仿宋_GB2312" w:eastAsia="仿宋_GB2312" w:cs="仿宋_GB2312"/>
          <w:color w:val="000000"/>
          <w:sz w:val="32"/>
          <w:szCs w:val="32"/>
          <w:lang w:val="en-US" w:eastAsia="zh-CN"/>
        </w:rPr>
        <w:t>3.55</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37.37</w:t>
      </w:r>
      <w:r>
        <w:rPr>
          <w:rFonts w:hint="eastAsia" w:ascii="仿宋_GB2312" w:hAnsi="仿宋_GB2312" w:eastAsia="仿宋_GB2312" w:cs="仿宋_GB2312"/>
          <w:color w:val="000000"/>
          <w:sz w:val="32"/>
          <w:szCs w:val="32"/>
        </w:rPr>
        <w:t>%，决算数小于预算数的主要原因</w:t>
      </w:r>
      <w:r>
        <w:rPr>
          <w:rFonts w:hint="eastAsia" w:ascii="仿宋_GB2312" w:hAnsi="仿宋_GB2312" w:eastAsia="仿宋_GB2312" w:cs="仿宋_GB2312"/>
          <w:color w:val="000000"/>
          <w:sz w:val="32"/>
          <w:szCs w:val="32"/>
          <w:lang w:eastAsia="zh-CN"/>
        </w:rPr>
        <w:t>一是考虑到</w:t>
      </w:r>
      <w:r>
        <w:rPr>
          <w:rFonts w:hint="eastAsia" w:ascii="仿宋_GB2312" w:hAnsi="仿宋_GB2312" w:eastAsia="仿宋_GB2312" w:cs="仿宋_GB2312"/>
          <w:color w:val="000000"/>
          <w:sz w:val="32"/>
          <w:szCs w:val="32"/>
          <w:lang w:val="en-US" w:eastAsia="zh-CN"/>
        </w:rPr>
        <w:t>2019年帮扶任务繁重，公务用车比较频繁，年初公务车运行维护费用预算增加，二是实际执行过程中，加强资金监管，厉行节俭，减少支出</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60" w:lineRule="exact"/>
        <w:ind w:firstLine="640"/>
        <w:outlineLvl w:val="2"/>
        <w:rPr>
          <w:rFonts w:hint="eastAsia" w:ascii="楷体" w:hAnsi="楷体" w:eastAsia="楷体" w:cs="楷体"/>
          <w:b/>
          <w:color w:val="000000"/>
          <w:sz w:val="32"/>
          <w:szCs w:val="32"/>
        </w:rPr>
      </w:pPr>
      <w:bookmarkStart w:id="67" w:name="_Toc15377217"/>
      <w:bookmarkStart w:id="68" w:name="_Toc28445"/>
      <w:r>
        <w:rPr>
          <w:rFonts w:hint="eastAsia" w:ascii="楷体" w:hAnsi="楷体" w:eastAsia="楷体" w:cs="楷体"/>
          <w:b/>
          <w:color w:val="000000"/>
          <w:sz w:val="32"/>
          <w:szCs w:val="32"/>
        </w:rPr>
        <w:t>（二）“三公”经费财政拨款支出决算具体情况说明</w:t>
      </w:r>
      <w:bookmarkEnd w:id="67"/>
      <w:bookmarkEnd w:id="68"/>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%；公务用车购置及运行维护费支出决算</w:t>
      </w:r>
      <w:r>
        <w:rPr>
          <w:rFonts w:hint="eastAsia" w:ascii="仿宋_GB2312" w:hAnsi="仿宋_GB2312" w:eastAsia="仿宋_GB2312" w:cs="仿宋_GB2312"/>
          <w:color w:val="000000"/>
          <w:sz w:val="32"/>
          <w:szCs w:val="32"/>
          <w:lang w:val="en-US" w:eastAsia="zh-CN"/>
        </w:rPr>
        <w:t>2.97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83.66</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0.58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16.34</w:t>
      </w:r>
      <w:r>
        <w:rPr>
          <w:rFonts w:hint="eastAsia" w:ascii="仿宋_GB2312" w:hAnsi="仿宋_GB2312" w:eastAsia="仿宋_GB2312" w:cs="仿宋_GB2312"/>
          <w:color w:val="000000"/>
          <w:sz w:val="32"/>
          <w:szCs w:val="32"/>
        </w:rPr>
        <w:t>%。具体情况如下：</w:t>
      </w:r>
    </w:p>
    <w:p>
      <w:pPr>
        <w:pStyle w:val="2"/>
        <w:rPr>
          <w:rFonts w:hint="eastAsia"/>
        </w:rPr>
      </w:pPr>
      <w:r>
        <w:drawing>
          <wp:inline distT="0" distB="0" distL="114300" distR="114300">
            <wp:extent cx="4572000" cy="2743200"/>
            <wp:effectExtent l="4445" t="4445" r="14605" b="14605"/>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6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Style w:val="17"/>
          <w:rFonts w:hint="eastAsia" w:ascii="仿宋_GB2312" w:hAnsi="仿宋_GB2312" w:eastAsia="仿宋_GB2312" w:cs="仿宋_GB2312"/>
          <w:b w:val="0"/>
          <w:bCs/>
          <w:color w:val="000000"/>
          <w:sz w:val="32"/>
          <w:szCs w:val="32"/>
        </w:rPr>
        <w:t>完成预算</w:t>
      </w:r>
      <w:r>
        <w:rPr>
          <w:rStyle w:val="17"/>
          <w:rFonts w:hint="eastAsia" w:ascii="仿宋_GB2312" w:hAnsi="仿宋_GB2312" w:eastAsia="仿宋_GB2312" w:cs="仿宋_GB2312"/>
          <w:b w:val="0"/>
          <w:bCs/>
          <w:color w:val="000000"/>
          <w:sz w:val="32"/>
          <w:szCs w:val="32"/>
          <w:lang w:val="en-US" w:eastAsia="zh-CN"/>
        </w:rPr>
        <w:t>0</w:t>
      </w:r>
      <w:r>
        <w:rPr>
          <w:rStyle w:val="17"/>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因公出国（境）支出决算比2018年减少</w:t>
      </w:r>
      <w:r>
        <w:rPr>
          <w:rFonts w:hint="eastAsia" w:ascii="仿宋_GB2312" w:hAnsi="仿宋_GB2312" w:eastAsia="仿宋_GB2312" w:cs="仿宋_GB2312"/>
          <w:color w:val="000000"/>
          <w:sz w:val="32"/>
          <w:szCs w:val="32"/>
          <w:lang w:val="en-US" w:eastAsia="zh-CN"/>
        </w:rPr>
        <w:t>7.14</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2019年未安排出国（境）任务。</w:t>
      </w:r>
    </w:p>
    <w:p>
      <w:pPr>
        <w:pageBreakBefore w:val="0"/>
        <w:kinsoku/>
        <w:wordWrap/>
        <w:overflowPunct/>
        <w:topLinePunct w:val="0"/>
        <w:bidi w:val="0"/>
        <w:spacing w:line="56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2.97</w:t>
      </w:r>
      <w:r>
        <w:rPr>
          <w:rFonts w:hint="eastAsia" w:ascii="仿宋_GB2312" w:hAnsi="仿宋_GB2312" w:eastAsia="仿宋_GB2312" w:cs="仿宋_GB2312"/>
          <w:color w:val="000000"/>
          <w:sz w:val="32"/>
          <w:szCs w:val="32"/>
        </w:rPr>
        <w:t>万元,</w:t>
      </w:r>
      <w:r>
        <w:rPr>
          <w:rStyle w:val="17"/>
          <w:rFonts w:hint="eastAsia" w:ascii="仿宋_GB2312" w:hAnsi="仿宋_GB2312" w:eastAsia="仿宋_GB2312" w:cs="仿宋_GB2312"/>
          <w:b w:val="0"/>
          <w:bCs/>
          <w:color w:val="000000"/>
          <w:sz w:val="32"/>
          <w:szCs w:val="32"/>
        </w:rPr>
        <w:t>完成预算</w:t>
      </w:r>
      <w:r>
        <w:rPr>
          <w:rStyle w:val="17"/>
          <w:rFonts w:hint="eastAsia" w:ascii="仿宋_GB2312" w:hAnsi="仿宋_GB2312" w:eastAsia="仿宋_GB2312" w:cs="仿宋_GB2312"/>
          <w:b w:val="0"/>
          <w:bCs/>
          <w:color w:val="000000"/>
          <w:sz w:val="32"/>
          <w:szCs w:val="32"/>
          <w:lang w:val="en-US" w:eastAsia="zh-CN"/>
        </w:rPr>
        <w:t>39.6</w:t>
      </w:r>
      <w:r>
        <w:rPr>
          <w:rStyle w:val="17"/>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公务用车购置及运行维护费支出决算比2018年减少</w:t>
      </w:r>
      <w:r>
        <w:rPr>
          <w:rFonts w:hint="eastAsia" w:ascii="仿宋_GB2312" w:hAnsi="仿宋_GB2312" w:eastAsia="仿宋_GB2312" w:cs="仿宋_GB2312"/>
          <w:color w:val="000000"/>
          <w:sz w:val="32"/>
          <w:szCs w:val="32"/>
          <w:lang w:val="en-US" w:eastAsia="zh-CN"/>
        </w:rPr>
        <w:t>3.66</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55.2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继续认真贯彻落实厉行节俭等各项规定。</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b/>
          <w:color w:val="000000"/>
          <w:sz w:val="32"/>
          <w:szCs w:val="32"/>
          <w:lang w:val="en-US" w:eastAsia="zh-CN"/>
        </w:rPr>
        <w:t>0</w:t>
      </w:r>
      <w:r>
        <w:rPr>
          <w:rFonts w:hint="eastAsia" w:ascii="仿宋_GB2312" w:hAnsi="仿宋_GB2312" w:eastAsia="仿宋_GB2312" w:cs="仿宋_GB2312"/>
          <w:color w:val="000000"/>
          <w:sz w:val="32"/>
          <w:szCs w:val="32"/>
        </w:rPr>
        <w:t>万元。截至2019年12月底，单位共有公务用车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 执法执勤用车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lang w:val="en-US" w:eastAsia="zh-CN"/>
        </w:rPr>
        <w:t>2.97</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集体下乡帮扶以及调研出差</w:t>
      </w:r>
      <w:r>
        <w:rPr>
          <w:rFonts w:hint="eastAsia" w:ascii="仿宋_GB2312" w:hAnsi="仿宋_GB2312" w:eastAsia="仿宋_GB2312" w:cs="仿宋_GB2312"/>
          <w:color w:val="000000"/>
          <w:sz w:val="32"/>
          <w:szCs w:val="32"/>
        </w:rPr>
        <w:t>等所需的公务用车燃料费、维修费、过路过桥费、保险费等支出。</w:t>
      </w:r>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lang w:val="en-US" w:eastAsia="zh-CN"/>
        </w:rPr>
        <w:t>0.58</w:t>
      </w:r>
      <w:r>
        <w:rPr>
          <w:rFonts w:hint="eastAsia" w:ascii="仿宋_GB2312" w:hAnsi="仿宋_GB2312" w:eastAsia="仿宋_GB2312" w:cs="仿宋_GB2312"/>
          <w:color w:val="000000"/>
          <w:sz w:val="32"/>
          <w:szCs w:val="32"/>
        </w:rPr>
        <w:t>万元，</w:t>
      </w:r>
      <w:r>
        <w:rPr>
          <w:rStyle w:val="17"/>
          <w:rFonts w:hint="eastAsia" w:ascii="仿宋_GB2312" w:hAnsi="仿宋_GB2312" w:eastAsia="仿宋_GB2312" w:cs="仿宋_GB2312"/>
          <w:b w:val="0"/>
          <w:bCs/>
          <w:color w:val="000000"/>
          <w:sz w:val="32"/>
          <w:szCs w:val="32"/>
        </w:rPr>
        <w:t>完成预算</w:t>
      </w:r>
      <w:r>
        <w:rPr>
          <w:rStyle w:val="17"/>
          <w:rFonts w:hint="eastAsia" w:ascii="仿宋_GB2312" w:hAnsi="仿宋_GB2312" w:eastAsia="仿宋_GB2312" w:cs="仿宋_GB2312"/>
          <w:b w:val="0"/>
          <w:bCs/>
          <w:color w:val="000000"/>
          <w:sz w:val="32"/>
          <w:szCs w:val="32"/>
          <w:lang w:val="en-US" w:eastAsia="zh-CN"/>
        </w:rPr>
        <w:t>29</w:t>
      </w:r>
      <w:r>
        <w:rPr>
          <w:rStyle w:val="17"/>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公务接待费支出决算比2018年减少</w:t>
      </w:r>
      <w:r>
        <w:rPr>
          <w:rFonts w:hint="eastAsia" w:ascii="仿宋_GB2312" w:hAnsi="仿宋_GB2312" w:eastAsia="仿宋_GB2312" w:cs="仿宋_GB2312"/>
          <w:color w:val="000000"/>
          <w:sz w:val="32"/>
          <w:szCs w:val="32"/>
          <w:lang w:val="en-US" w:eastAsia="zh-CN"/>
        </w:rPr>
        <w:t>4.88</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89</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继续认真贯彻落实厉行节俭等各项规定。</w:t>
      </w:r>
      <w:r>
        <w:rPr>
          <w:rFonts w:hint="eastAsia" w:ascii="仿宋_GB2312" w:hAnsi="仿宋_GB2312" w:eastAsia="仿宋_GB2312" w:cs="仿宋_GB2312"/>
          <w:color w:val="000000"/>
          <w:sz w:val="32"/>
          <w:szCs w:val="32"/>
        </w:rPr>
        <w:t>其中：</w:t>
      </w:r>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lang w:val="en-US" w:eastAsia="zh-CN"/>
        </w:rPr>
        <w:t>0.58</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汇报工作、考察调研、检查指导等公务活动开支的餐饮费</w:t>
      </w:r>
      <w:r>
        <w:rPr>
          <w:rFonts w:hint="eastAsia" w:ascii="仿宋_GB2312" w:hAnsi="仿宋_GB2312" w:eastAsia="仿宋_GB2312" w:cs="仿宋_GB2312"/>
          <w:color w:val="000000"/>
          <w:sz w:val="32"/>
          <w:szCs w:val="32"/>
        </w:rPr>
        <w:t>。国内公务接待</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批次，</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人次（不包括陪同人员），共计支出</w:t>
      </w:r>
      <w:r>
        <w:rPr>
          <w:rFonts w:hint="eastAsia" w:ascii="仿宋_GB2312" w:hAnsi="仿宋_GB2312" w:eastAsia="仿宋_GB2312" w:cs="仿宋_GB2312"/>
          <w:color w:val="000000"/>
          <w:sz w:val="32"/>
          <w:szCs w:val="32"/>
          <w:lang w:val="en-US" w:eastAsia="zh-CN"/>
        </w:rPr>
        <w:t>0.58</w:t>
      </w:r>
      <w:r>
        <w:rPr>
          <w:rFonts w:hint="eastAsia" w:ascii="仿宋_GB2312" w:hAnsi="仿宋_GB2312" w:eastAsia="仿宋_GB2312" w:cs="仿宋_GB2312"/>
          <w:color w:val="000000"/>
          <w:sz w:val="32"/>
          <w:szCs w:val="32"/>
        </w:rPr>
        <w:t>万元，具体内容包括：</w:t>
      </w:r>
      <w:r>
        <w:rPr>
          <w:rFonts w:hint="eastAsia" w:ascii="仿宋_GB2312" w:hAnsi="仿宋_GB2312" w:eastAsia="仿宋_GB2312" w:cs="仿宋_GB2312"/>
          <w:color w:val="000000"/>
          <w:sz w:val="32"/>
          <w:szCs w:val="32"/>
          <w:lang w:eastAsia="zh-CN"/>
        </w:rPr>
        <w:t>接待县区档案部门汇报工作、交流学习，以及上级档案部门业务指导、考察调研等。</w:t>
      </w:r>
    </w:p>
    <w:p>
      <w:pPr>
        <w:pageBreakBefore w:val="0"/>
        <w:kinsoku/>
        <w:wordWrap/>
        <w:overflowPunct/>
        <w:topLinePunct w:val="0"/>
        <w:bidi w:val="0"/>
        <w:spacing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themeColor="text1"/>
          <w:sz w:val="32"/>
          <w:szCs w:val="32"/>
        </w:rPr>
        <w:t>，外事接待</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批次，</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人，共计支出</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val="en-US" w:eastAsia="zh-CN"/>
        </w:rPr>
        <w:t>.</w:t>
      </w:r>
      <w:bookmarkStart w:id="69" w:name="_Toc15377218"/>
      <w:bookmarkStart w:id="70" w:name="_Toc15396610"/>
    </w:p>
    <w:p>
      <w:pPr>
        <w:keepNext w:val="0"/>
        <w:keepLines w:val="0"/>
        <w:pageBreakBefore w:val="0"/>
        <w:widowControl w:val="0"/>
        <w:tabs>
          <w:tab w:val="right" w:pos="8306"/>
        </w:tabs>
        <w:kinsoku/>
        <w:wordWrap/>
        <w:overflowPunct/>
        <w:topLinePunct w:val="0"/>
        <w:autoSpaceDE/>
        <w:autoSpaceDN/>
        <w:bidi w:val="0"/>
        <w:adjustRightInd/>
        <w:snapToGrid/>
        <w:spacing w:before="313" w:beforeLines="100" w:line="560" w:lineRule="exact"/>
        <w:ind w:firstLine="641"/>
        <w:textAlignment w:val="auto"/>
        <w:outlineLvl w:val="1"/>
        <w:rPr>
          <w:rFonts w:hint="eastAsia" w:ascii="黑体" w:hAnsi="黑体" w:eastAsia="黑体" w:cs="黑体"/>
          <w:b/>
          <w:bCs/>
          <w:color w:val="000000"/>
          <w:kern w:val="2"/>
          <w:sz w:val="32"/>
          <w:szCs w:val="32"/>
          <w:lang w:val="en-US" w:eastAsia="zh-CN" w:bidi="ar-SA"/>
        </w:rPr>
      </w:pPr>
      <w:bookmarkStart w:id="71" w:name="_Toc30029"/>
      <w:r>
        <w:rPr>
          <w:rFonts w:hint="eastAsia" w:ascii="黑体" w:hAnsi="黑体" w:eastAsia="黑体" w:cs="黑体"/>
          <w:b/>
          <w:bCs/>
          <w:color w:val="000000"/>
          <w:kern w:val="2"/>
          <w:sz w:val="32"/>
          <w:szCs w:val="32"/>
          <w:lang w:val="en-US" w:eastAsia="zh-CN" w:bidi="ar-SA"/>
        </w:rPr>
        <w:t>八、政府性基金预算支出决算情况说明</w:t>
      </w:r>
      <w:bookmarkEnd w:id="69"/>
      <w:bookmarkEnd w:id="70"/>
      <w:bookmarkEnd w:id="71"/>
    </w:p>
    <w:p>
      <w:pPr>
        <w:pageBreakBefore w:val="0"/>
        <w:kinsoku/>
        <w:wordWrap/>
        <w:overflowPunct/>
        <w:topLinePunct w:val="0"/>
        <w:bidi w:val="0"/>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before="313" w:beforeLines="100" w:line="560" w:lineRule="exact"/>
        <w:ind w:firstLine="641"/>
        <w:textAlignment w:val="auto"/>
        <w:outlineLvl w:val="1"/>
        <w:rPr>
          <w:rFonts w:hint="eastAsia" w:ascii="黑体" w:hAnsi="黑体" w:eastAsia="黑体" w:cs="黑体"/>
          <w:b/>
          <w:bCs/>
          <w:color w:val="000000"/>
          <w:kern w:val="2"/>
          <w:sz w:val="32"/>
          <w:szCs w:val="32"/>
          <w:lang w:val="en-US" w:eastAsia="zh-CN" w:bidi="ar-SA"/>
        </w:rPr>
      </w:pPr>
      <w:bookmarkStart w:id="72" w:name="_Toc15377219"/>
      <w:bookmarkStart w:id="73" w:name="_Toc13807"/>
      <w:bookmarkStart w:id="74" w:name="_Toc15396611"/>
      <w:r>
        <w:rPr>
          <w:rFonts w:hint="eastAsia" w:ascii="黑体" w:hAnsi="黑体" w:eastAsia="黑体" w:cs="黑体"/>
          <w:b/>
          <w:bCs/>
          <w:color w:val="000000"/>
          <w:kern w:val="2"/>
          <w:sz w:val="32"/>
          <w:szCs w:val="32"/>
          <w:lang w:val="en-US" w:eastAsia="zh-CN" w:bidi="ar-SA"/>
        </w:rPr>
        <w:t>九、国有资本经营预算支出决算情况说明</w:t>
      </w:r>
      <w:bookmarkEnd w:id="72"/>
      <w:bookmarkEnd w:id="73"/>
      <w:bookmarkEnd w:id="74"/>
    </w:p>
    <w:p>
      <w:pPr>
        <w:pageBreakBefore w:val="0"/>
        <w:kinsoku/>
        <w:wordWrap/>
        <w:overflowPunct/>
        <w:topLinePunct w:val="0"/>
        <w:bidi w:val="0"/>
        <w:spacing w:line="560" w:lineRule="exact"/>
        <w:ind w:firstLine="640"/>
        <w:rPr>
          <w:rFonts w:hint="eastAsia" w:ascii="仿宋_GB2312" w:hAnsi="仿宋_GB2312" w:eastAsia="仿宋_GB2312" w:cs="仿宋_GB2312"/>
          <w:sz w:val="44"/>
          <w:szCs w:val="44"/>
        </w:rPr>
      </w:pPr>
      <w:r>
        <w:rPr>
          <w:rFonts w:hint="eastAsia" w:ascii="仿宋_GB2312" w:hAnsi="仿宋_GB2312" w:eastAsia="仿宋_GB2312" w:cs="仿宋_GB2312"/>
          <w:color w:val="000000"/>
          <w:sz w:val="32"/>
          <w:szCs w:val="32"/>
        </w:rPr>
        <w:t>2019年国有资本经营预算拨款支出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before="313" w:beforeLines="100" w:line="560" w:lineRule="exact"/>
        <w:ind w:firstLine="641"/>
        <w:textAlignment w:val="auto"/>
        <w:outlineLvl w:val="1"/>
        <w:rPr>
          <w:rFonts w:hint="eastAsia" w:ascii="黑体" w:hAnsi="黑体" w:eastAsia="黑体" w:cs="黑体"/>
          <w:b/>
          <w:bCs/>
          <w:color w:val="000000"/>
          <w:kern w:val="2"/>
          <w:sz w:val="32"/>
          <w:szCs w:val="32"/>
          <w:lang w:val="en-US" w:eastAsia="zh-CN" w:bidi="ar-SA"/>
        </w:rPr>
      </w:pPr>
      <w:bookmarkStart w:id="75" w:name="_Toc15377221"/>
      <w:bookmarkStart w:id="76" w:name="_Toc15396612"/>
      <w:bookmarkStart w:id="77" w:name="_Toc27044"/>
      <w:r>
        <w:rPr>
          <w:rFonts w:hint="eastAsia" w:ascii="黑体" w:hAnsi="黑体" w:eastAsia="黑体" w:cs="黑体"/>
          <w:b/>
          <w:bCs/>
          <w:color w:val="000000"/>
          <w:kern w:val="2"/>
          <w:sz w:val="32"/>
          <w:szCs w:val="32"/>
          <w:lang w:val="en-US" w:eastAsia="zh-CN" w:bidi="ar-SA"/>
        </w:rPr>
        <w:t>十、其他重要事项的情况说明</w:t>
      </w:r>
      <w:bookmarkEnd w:id="75"/>
      <w:bookmarkEnd w:id="76"/>
      <w:bookmarkEnd w:id="77"/>
    </w:p>
    <w:p>
      <w:pPr>
        <w:pageBreakBefore w:val="0"/>
        <w:kinsoku/>
        <w:wordWrap/>
        <w:overflowPunct/>
        <w:topLinePunct w:val="0"/>
        <w:bidi w:val="0"/>
        <w:spacing w:line="560" w:lineRule="exact"/>
        <w:ind w:firstLine="643" w:firstLineChars="200"/>
        <w:outlineLvl w:val="2"/>
        <w:rPr>
          <w:rFonts w:hint="eastAsia" w:ascii="楷体" w:hAnsi="楷体" w:eastAsia="楷体" w:cs="楷体"/>
          <w:color w:val="000000"/>
          <w:sz w:val="32"/>
          <w:szCs w:val="32"/>
        </w:rPr>
      </w:pPr>
      <w:bookmarkStart w:id="78" w:name="_Toc24615"/>
      <w:bookmarkStart w:id="79" w:name="_Toc15377222"/>
      <w:r>
        <w:rPr>
          <w:rFonts w:hint="eastAsia" w:ascii="楷体" w:hAnsi="楷体" w:eastAsia="楷体" w:cs="楷体"/>
          <w:b/>
          <w:color w:val="000000"/>
          <w:sz w:val="32"/>
          <w:szCs w:val="32"/>
        </w:rPr>
        <w:t>（一）机关运行经费支出情况</w:t>
      </w:r>
      <w:bookmarkEnd w:id="78"/>
      <w:bookmarkEnd w:id="79"/>
    </w:p>
    <w:p>
      <w:pPr>
        <w:pageBreakBefore w:val="0"/>
        <w:kinsoku/>
        <w:wordWrap/>
        <w:overflowPunct/>
        <w:topLinePunct w:val="0"/>
        <w:autoSpaceDE w:val="0"/>
        <w:autoSpaceDN w:val="0"/>
        <w:bidi w:val="0"/>
        <w:adjustRightInd w:val="0"/>
        <w:spacing w:line="560" w:lineRule="exact"/>
        <w:ind w:firstLine="640" w:firstLineChars="200"/>
        <w:jc w:val="left"/>
        <w:outlineLvl w:val="2"/>
        <w:rPr>
          <w:rFonts w:hint="eastAsia" w:ascii="仿宋_GB2312" w:hAnsi="仿宋_GB2312" w:eastAsia="仿宋_GB2312" w:cs="仿宋_GB2312"/>
          <w:color w:val="000000" w:themeColor="text1"/>
          <w:sz w:val="32"/>
          <w:szCs w:val="32"/>
          <w:lang w:eastAsia="zh-CN"/>
        </w:rPr>
      </w:pPr>
      <w:bookmarkStart w:id="80" w:name="_Toc12392"/>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市档案馆</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70.85</w:t>
      </w:r>
      <w:r>
        <w:rPr>
          <w:rFonts w:hint="eastAsia" w:ascii="仿宋_GB2312" w:hAnsi="仿宋_GB2312" w:eastAsia="仿宋_GB2312" w:cs="仿宋_GB2312"/>
          <w:color w:val="000000"/>
          <w:sz w:val="32"/>
          <w:szCs w:val="32"/>
        </w:rPr>
        <w:t>万元，比2018年减少</w:t>
      </w:r>
      <w:r>
        <w:rPr>
          <w:rFonts w:hint="eastAsia" w:ascii="仿宋_GB2312" w:hAnsi="仿宋_GB2312" w:eastAsia="仿宋_GB2312" w:cs="仿宋_GB2312"/>
          <w:color w:val="000000"/>
          <w:sz w:val="32"/>
          <w:szCs w:val="32"/>
          <w:lang w:val="en-US" w:eastAsia="zh-CN"/>
        </w:rPr>
        <w:t>28.14</w:t>
      </w:r>
      <w:r>
        <w:rPr>
          <w:rFonts w:hint="eastAsia" w:ascii="仿宋_GB2312" w:hAnsi="仿宋_GB2312" w:eastAsia="仿宋_GB2312" w:cs="仿宋_GB2312"/>
          <w:color w:val="000000"/>
          <w:sz w:val="32"/>
          <w:szCs w:val="32"/>
        </w:rPr>
        <w:t>万元，下降</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rPr>
        <w:t>主要原因是</w:t>
      </w:r>
      <w:r>
        <w:rPr>
          <w:rFonts w:hint="eastAsia" w:ascii="仿宋_GB2312" w:hAnsi="仿宋_GB2312" w:eastAsia="仿宋_GB2312" w:cs="仿宋_GB2312"/>
          <w:color w:val="000000" w:themeColor="text1"/>
          <w:sz w:val="32"/>
          <w:szCs w:val="32"/>
          <w:lang w:eastAsia="zh-CN"/>
        </w:rPr>
        <w:t>严格树立“过紧日子”思想，继续贯彻落实厉行节俭各项规定。</w:t>
      </w:r>
      <w:bookmarkEnd w:id="80"/>
    </w:p>
    <w:p>
      <w:pPr>
        <w:pageBreakBefore w:val="0"/>
        <w:kinsoku/>
        <w:wordWrap/>
        <w:overflowPunct/>
        <w:topLinePunct w:val="0"/>
        <w:autoSpaceDE w:val="0"/>
        <w:autoSpaceDN w:val="0"/>
        <w:bidi w:val="0"/>
        <w:adjustRightInd w:val="0"/>
        <w:spacing w:line="560" w:lineRule="exact"/>
        <w:ind w:firstLine="643" w:firstLineChars="200"/>
        <w:jc w:val="left"/>
        <w:outlineLvl w:val="2"/>
        <w:rPr>
          <w:rFonts w:hint="eastAsia" w:ascii="楷体" w:hAnsi="楷体" w:eastAsia="楷体" w:cs="楷体"/>
          <w:b/>
          <w:color w:val="000000"/>
          <w:kern w:val="2"/>
          <w:sz w:val="32"/>
          <w:szCs w:val="32"/>
          <w:lang w:val="en-US" w:eastAsia="zh-CN" w:bidi="ar-SA"/>
        </w:rPr>
      </w:pPr>
      <w:bookmarkStart w:id="81" w:name="_Toc10810"/>
      <w:r>
        <w:rPr>
          <w:rFonts w:hint="eastAsia" w:ascii="楷体" w:hAnsi="楷体" w:eastAsia="楷体" w:cs="楷体"/>
          <w:b/>
          <w:color w:val="000000"/>
          <w:kern w:val="2"/>
          <w:sz w:val="32"/>
          <w:szCs w:val="32"/>
          <w:lang w:val="en-US" w:eastAsia="zh-CN" w:bidi="ar-SA"/>
        </w:rPr>
        <w:t>（二）政府采购支出情况</w:t>
      </w:r>
      <w:bookmarkEnd w:id="81"/>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市档案馆</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szCs w:val="32"/>
          <w:lang w:val="en-US" w:eastAsia="zh-CN"/>
        </w:rPr>
        <w:t>80.05</w:t>
      </w:r>
      <w:r>
        <w:rPr>
          <w:rFonts w:hint="eastAsia" w:ascii="仿宋_GB2312" w:hAnsi="仿宋_GB2312" w:eastAsia="仿宋_GB2312" w:cs="仿宋_GB2312"/>
          <w:color w:val="000000"/>
          <w:sz w:val="32"/>
          <w:szCs w:val="32"/>
        </w:rPr>
        <w:t>万元，其中：政府采购服务支出</w:t>
      </w:r>
      <w:r>
        <w:rPr>
          <w:rFonts w:hint="eastAsia" w:ascii="仿宋_GB2312" w:hAnsi="仿宋_GB2312" w:eastAsia="仿宋_GB2312" w:cs="仿宋_GB2312"/>
          <w:color w:val="000000"/>
          <w:sz w:val="32"/>
          <w:szCs w:val="32"/>
          <w:lang w:val="en-US" w:eastAsia="zh-CN"/>
        </w:rPr>
        <w:t>80.05</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档案数字化扫描工作</w:t>
      </w:r>
      <w:r>
        <w:rPr>
          <w:rFonts w:hint="eastAsia" w:ascii="仿宋_GB2312" w:hAnsi="仿宋_GB2312" w:eastAsia="仿宋_GB2312" w:cs="仿宋_GB2312"/>
          <w:color w:val="000000"/>
          <w:sz w:val="32"/>
          <w:szCs w:val="32"/>
        </w:rPr>
        <w:t>。授予中小企业合同金额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60" w:lineRule="exact"/>
        <w:ind w:firstLine="643" w:firstLineChars="200"/>
        <w:outlineLvl w:val="2"/>
        <w:rPr>
          <w:rFonts w:hint="eastAsia" w:ascii="楷体" w:hAnsi="楷体" w:eastAsia="楷体" w:cs="楷体"/>
          <w:b/>
          <w:color w:val="000000"/>
          <w:sz w:val="32"/>
          <w:szCs w:val="32"/>
        </w:rPr>
      </w:pPr>
      <w:bookmarkStart w:id="82" w:name="_Toc15377224"/>
      <w:bookmarkStart w:id="83" w:name="_Toc11058"/>
      <w:r>
        <w:rPr>
          <w:rFonts w:hint="eastAsia" w:ascii="楷体" w:hAnsi="楷体" w:eastAsia="楷体" w:cs="楷体"/>
          <w:b/>
          <w:color w:val="000000"/>
          <w:sz w:val="32"/>
          <w:szCs w:val="32"/>
        </w:rPr>
        <w:t>（三）国有资产占有使用情况</w:t>
      </w:r>
      <w:bookmarkEnd w:id="82"/>
      <w:bookmarkEnd w:id="83"/>
    </w:p>
    <w:p>
      <w:pPr>
        <w:pageBreakBefore w:val="0"/>
        <w:kinsoku/>
        <w:wordWrap/>
        <w:overflowPunct/>
        <w:topLinePunct w:val="0"/>
        <w:autoSpaceDE w:val="0"/>
        <w:autoSpaceDN w:val="0"/>
        <w:bidi w:val="0"/>
        <w:adjustRightInd w:val="0"/>
        <w:spacing w:line="560" w:lineRule="exact"/>
        <w:ind w:firstLine="640" w:firstLineChars="200"/>
        <w:jc w:val="left"/>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截至2019年12月31日，</w:t>
      </w:r>
      <w:r>
        <w:rPr>
          <w:rFonts w:hint="eastAsia" w:ascii="仿宋_GB2312" w:hAnsi="仿宋_GB2312" w:eastAsia="仿宋_GB2312" w:cs="仿宋_GB2312"/>
          <w:color w:val="000000"/>
          <w:sz w:val="32"/>
          <w:szCs w:val="32"/>
          <w:lang w:eastAsia="zh-CN"/>
        </w:rPr>
        <w:t>市档案馆</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rPr>
        <w:t>单价50万元以上通用设备</w:t>
      </w:r>
      <w:r>
        <w:rPr>
          <w:rFonts w:hint="eastAsia" w:ascii="仿宋_GB2312" w:hAnsi="仿宋_GB2312" w:eastAsia="仿宋_GB2312" w:cs="仿宋_GB2312"/>
          <w:color w:val="000000" w:themeColor="text1"/>
          <w:sz w:val="32"/>
          <w:szCs w:val="32"/>
          <w:lang w:val="en-US" w:eastAsia="zh-CN"/>
        </w:rPr>
        <w:t>0</w:t>
      </w:r>
      <w:r>
        <w:rPr>
          <w:rFonts w:hint="eastAsia" w:ascii="仿宋_GB2312" w:hAnsi="仿宋_GB2312" w:eastAsia="仿宋_GB2312" w:cs="仿宋_GB2312"/>
          <w:color w:val="000000" w:themeColor="text1"/>
          <w:sz w:val="32"/>
          <w:szCs w:val="32"/>
        </w:rPr>
        <w:t>台（套），单价100</w:t>
      </w:r>
      <w:r>
        <w:rPr>
          <w:rFonts w:hint="eastAsia" w:ascii="仿宋_GB2312" w:hAnsi="仿宋_GB2312" w:eastAsia="仿宋_GB2312" w:cs="仿宋_GB2312"/>
          <w:color w:val="000000"/>
          <w:sz w:val="32"/>
          <w:szCs w:val="32"/>
        </w:rPr>
        <w:t>万元以上专用设备</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台（套）。</w:t>
      </w:r>
    </w:p>
    <w:p>
      <w:pPr>
        <w:pageBreakBefore w:val="0"/>
        <w:kinsoku/>
        <w:wordWrap/>
        <w:overflowPunct/>
        <w:topLinePunct w:val="0"/>
        <w:bidi w:val="0"/>
        <w:spacing w:line="560" w:lineRule="exact"/>
        <w:ind w:firstLine="643" w:firstLineChars="200"/>
        <w:outlineLvl w:val="2"/>
        <w:rPr>
          <w:rFonts w:hint="eastAsia" w:ascii="楷体" w:hAnsi="楷体" w:eastAsia="楷体" w:cs="楷体"/>
          <w:b/>
          <w:color w:val="000000"/>
          <w:sz w:val="32"/>
          <w:szCs w:val="32"/>
        </w:rPr>
      </w:pPr>
      <w:bookmarkStart w:id="84" w:name="_Toc4718"/>
      <w:r>
        <w:rPr>
          <w:rFonts w:hint="eastAsia" w:ascii="楷体" w:hAnsi="楷体" w:eastAsia="楷体" w:cs="楷体"/>
          <w:b/>
          <w:color w:val="000000"/>
          <w:sz w:val="32"/>
          <w:szCs w:val="32"/>
        </w:rPr>
        <w:t>（四）预算绩效管理情况。</w:t>
      </w:r>
      <w:bookmarkEnd w:id="84"/>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档案馆大楼运行、馆藏档案保护、爱国主义教育基地暨廉政教育基地改版项目及档案征集、档案数字化扫描以及扶贫专项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w:t>
      </w:r>
      <w:r>
        <w:rPr>
          <w:rFonts w:hint="eastAsia" w:ascii="仿宋_GB2312" w:hAnsi="仿宋_GB2312" w:eastAsia="仿宋_GB2312" w:cs="仿宋_GB2312"/>
          <w:sz w:val="32"/>
          <w:szCs w:val="32"/>
          <w:lang w:eastAsia="zh-CN"/>
        </w:rPr>
        <w:t>对部门整体支出</w:t>
      </w:r>
      <w:r>
        <w:rPr>
          <w:rFonts w:hint="eastAsia" w:ascii="仿宋_GB2312" w:hAnsi="仿宋_GB2312" w:eastAsia="仿宋_GB2312" w:cs="仿宋_GB2312"/>
          <w:sz w:val="32"/>
          <w:szCs w:val="32"/>
        </w:rPr>
        <w:t>绩效目标完成情况自评。</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严格按照绩效管理要求编制项目支出绩效目标，在数量、质量、成本、时效、效益等方面设置指标，要素较为完整；预算执行过程中，支出控制良好；预算完成情况较好，无违纪违规问题。全年支出保证了单位的正常运转，基本保证重点档案业务工作的开展。但预算编制的准确性以及预算执行进度的把控还需要进一步提升。</w:t>
      </w:r>
      <w:r>
        <w:rPr>
          <w:rFonts w:hint="eastAsia" w:ascii="仿宋_GB2312" w:hAnsi="仿宋_GB2312" w:eastAsia="仿宋_GB2312" w:cs="仿宋_GB2312"/>
          <w:sz w:val="32"/>
          <w:szCs w:val="32"/>
        </w:rPr>
        <w:t>本部门无专项预算项目，因此未组织开展项目支出绩效评价。</w:t>
      </w:r>
    </w:p>
    <w:p>
      <w:pPr>
        <w:pageBreakBefore w:val="0"/>
        <w:numPr>
          <w:ilvl w:val="0"/>
          <w:numId w:val="0"/>
        </w:numPr>
        <w:kinsoku/>
        <w:wordWrap/>
        <w:overflowPunct/>
        <w:topLinePunct w:val="0"/>
        <w:bidi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档案馆大楼运行、馆藏档案保护、爱国主义教育基地暨廉政教育基地改版及档案征集、档案数字化扫描以及扶贫专项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pageBreakBefore w:val="0"/>
        <w:numPr>
          <w:ilvl w:val="0"/>
          <w:numId w:val="3"/>
        </w:numPr>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档案馆大楼运行</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45.54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确保市纪委监委、市委组织部、市国土资源局档案部门及市档案馆正常运转，</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了市档案馆综合大楼安全有序，管理规范化。该项目为常规项目，未发现明显问题，全年按照年初制定的绩效目标、支出内容执行资金，效益较好。</w:t>
      </w:r>
    </w:p>
    <w:p>
      <w:pPr>
        <w:pageBreakBefore w:val="0"/>
        <w:numPr>
          <w:ilvl w:val="0"/>
          <w:numId w:val="3"/>
        </w:numPr>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馆藏档案保管保护</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因一般性支出压减</w:t>
      </w:r>
      <w:r>
        <w:rPr>
          <w:rFonts w:hint="eastAsia" w:ascii="仿宋_GB2312" w:hAnsi="仿宋_GB2312" w:eastAsia="仿宋_GB2312" w:cs="仿宋_GB2312"/>
          <w:sz w:val="32"/>
          <w:szCs w:val="32"/>
          <w:lang w:val="en-US" w:eastAsia="zh-CN"/>
        </w:rPr>
        <w:t>2.1万元，调整后预算为35.9万元，</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3.69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保障了馆藏档案实体的基本安全，但由于</w:t>
      </w:r>
      <w:r>
        <w:rPr>
          <w:rFonts w:hint="eastAsia" w:ascii="仿宋_GB2312" w:hAnsi="仿宋_GB2312" w:eastAsia="仿宋_GB2312" w:cs="仿宋_GB2312"/>
          <w:sz w:val="32"/>
          <w:szCs w:val="32"/>
          <w:lang w:val="en-US" w:eastAsia="zh-CN"/>
        </w:rPr>
        <w:t>2019年机构职能和人员变化较大，导致部分业务工作未能如期开展，预算执行缓慢，剩余专项资金已收归财政。</w:t>
      </w:r>
    </w:p>
    <w:p>
      <w:pPr>
        <w:pageBreakBefore w:val="0"/>
        <w:numPr>
          <w:ilvl w:val="0"/>
          <w:numId w:val="3"/>
        </w:numPr>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爱国主义教育基地暨廉政教育基地改版及档案征集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因一般性支出压减</w:t>
      </w:r>
      <w:r>
        <w:rPr>
          <w:rFonts w:hint="eastAsia" w:ascii="仿宋_GB2312" w:hAnsi="仿宋_GB2312" w:eastAsia="仿宋_GB2312" w:cs="仿宋_GB2312"/>
          <w:sz w:val="32"/>
          <w:szCs w:val="32"/>
          <w:lang w:val="en-US" w:eastAsia="zh-CN"/>
        </w:rPr>
        <w:t>1.92万元，调整后预算为14万元，</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今年该项目未实施，主要原因是</w:t>
      </w:r>
      <w:r>
        <w:rPr>
          <w:rFonts w:hint="eastAsia" w:ascii="仿宋_GB2312" w:hAnsi="仿宋_GB2312" w:eastAsia="仿宋_GB2312" w:cs="仿宋_GB2312"/>
          <w:sz w:val="32"/>
          <w:szCs w:val="32"/>
          <w:lang w:val="en-US" w:eastAsia="zh-CN"/>
        </w:rPr>
        <w:t>2019年机构职能和人员变化较大，导致部分业务工作未能如期开展，预算执行缓慢，剩余专项资金已收归财政。</w:t>
      </w:r>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）档案数字化扫描</w:t>
      </w:r>
      <w:r>
        <w:rPr>
          <w:rFonts w:hint="eastAsia" w:ascii="仿宋_GB2312" w:hAnsi="仿宋_GB2312" w:eastAsia="仿宋_GB2312" w:cs="仿宋_GB2312"/>
          <w:sz w:val="32"/>
          <w:szCs w:val="32"/>
          <w:lang w:val="en-US" w:eastAsia="zh-CN"/>
        </w:rPr>
        <w:t>项目绩效目标完成情况综述。项目全年预算50万元，</w:t>
      </w:r>
      <w:r>
        <w:rPr>
          <w:rFonts w:hint="eastAsia" w:ascii="仿宋_GB2312" w:hAnsi="仿宋_GB2312" w:eastAsia="仿宋_GB2312" w:cs="仿宋_GB2312"/>
          <w:sz w:val="32"/>
          <w:szCs w:val="32"/>
          <w:lang w:eastAsia="zh-CN"/>
        </w:rPr>
        <w:t>因一般性支出压减</w:t>
      </w:r>
      <w:r>
        <w:rPr>
          <w:rFonts w:hint="eastAsia" w:ascii="仿宋_GB2312" w:hAnsi="仿宋_GB2312" w:eastAsia="仿宋_GB2312" w:cs="仿宋_GB2312"/>
          <w:sz w:val="32"/>
          <w:szCs w:val="32"/>
          <w:lang w:val="en-US" w:eastAsia="zh-CN"/>
        </w:rPr>
        <w:t>40万元，调整后当年预算为10万元，加上前一年度结转105.66万元，合计115.66万元，执行数为80.05万元，完成预算的69%。存在的主要问题，该项目属于采购项目，按照项目进度付款，部分款项结转至次年，项目数量指标未完全完成，下一步改进措施，在编制绩效目标时，提高数量指标测算，同时加强项目执行进度监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eastAsia="zh-CN"/>
        </w:rPr>
        <w:t>扶贫专项</w:t>
      </w:r>
      <w:r>
        <w:rPr>
          <w:rFonts w:hint="eastAsia" w:ascii="仿宋_GB2312" w:hAnsi="仿宋_GB2312" w:eastAsia="仿宋_GB2312" w:cs="仿宋_GB2312"/>
          <w:sz w:val="32"/>
          <w:szCs w:val="32"/>
          <w:lang w:val="en-US" w:eastAsia="zh-CN"/>
        </w:rPr>
        <w:t>项目绩效目标完成情况综述。项目全年预算3.72万元，执行数3.72万元，完成预算的100%。项目仅保证第一书记的生活补助，驻村队员生活补助以及其他支出由单位公用经费垫支。存在的主要问题，因实际支出远超于预算数，均是由其他公用经费垫支，导致年初由专项经费控制数为依据编制的绩效目标内容不准确。下一步，将做好各个项目预算经费的调剂，提高项目绩效编制精准度。</w:t>
      </w:r>
    </w:p>
    <w:p>
      <w:pPr>
        <w:pStyle w:val="2"/>
        <w:pageBreakBefore w:val="0"/>
        <w:kinsoku/>
        <w:wordWrap/>
        <w:overflowPunct/>
        <w:topLinePunct w:val="0"/>
        <w:bidi w:val="0"/>
        <w:spacing w:line="560" w:lineRule="exact"/>
        <w:rPr>
          <w:rFonts w:hint="eastAsia" w:ascii="仿宋_GB2312" w:hAnsi="仿宋_GB2312" w:eastAsia="仿宋_GB2312" w:cs="仿宋_GB2312"/>
        </w:rPr>
      </w:pP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p>
      <w:pPr>
        <w:pStyle w:val="2"/>
        <w:pageBreakBefore w:val="0"/>
        <w:kinsoku/>
        <w:wordWrap/>
        <w:overflowPunct/>
        <w:topLinePunct w:val="0"/>
        <w:bidi w:val="0"/>
        <w:spacing w:line="560" w:lineRule="exact"/>
        <w:rPr>
          <w:rFonts w:hint="eastAsia" w:ascii="仿宋_GB2312" w:hAnsi="仿宋_GB2312" w:eastAsia="仿宋_GB2312" w:cs="仿宋_GB2312"/>
          <w:sz w:val="32"/>
          <w:szCs w:val="32"/>
        </w:rPr>
      </w:pPr>
    </w:p>
    <w:tbl>
      <w:tblPr>
        <w:tblStyle w:val="15"/>
        <w:tblpPr w:leftFromText="180" w:rightFromText="180" w:vertAnchor="text" w:horzAnchor="page" w:tblpXSpec="center" w:tblpY="423"/>
        <w:tblOverlap w:val="never"/>
        <w:tblW w:w="10232" w:type="dxa"/>
        <w:jc w:val="center"/>
        <w:tblLayout w:type="fixed"/>
        <w:tblCellMar>
          <w:top w:w="0" w:type="dxa"/>
          <w:left w:w="0" w:type="dxa"/>
          <w:bottom w:w="0" w:type="dxa"/>
          <w:right w:w="0" w:type="dxa"/>
        </w:tblCellMar>
      </w:tblPr>
      <w:tblGrid>
        <w:gridCol w:w="390"/>
        <w:gridCol w:w="1078"/>
        <w:gridCol w:w="1314"/>
        <w:gridCol w:w="1986"/>
        <w:gridCol w:w="2800"/>
        <w:gridCol w:w="2664"/>
      </w:tblGrid>
      <w:tr>
        <w:tblPrEx>
          <w:tblCellMar>
            <w:top w:w="0" w:type="dxa"/>
            <w:left w:w="0" w:type="dxa"/>
            <w:bottom w:w="0" w:type="dxa"/>
            <w:right w:w="0" w:type="dxa"/>
          </w:tblCellMar>
        </w:tblPrEx>
        <w:trPr>
          <w:trHeight w:val="1034" w:hRule="atLeast"/>
          <w:jc w:val="center"/>
        </w:trPr>
        <w:tc>
          <w:tcPr>
            <w:tcW w:w="1023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档案馆大楼运行</w:t>
            </w:r>
            <w:r>
              <w:rPr>
                <w:rFonts w:hint="eastAsia" w:ascii="仿宋_GB2312" w:hAnsi="仿宋_GB2312" w:eastAsia="仿宋_GB2312" w:cs="仿宋_GB2312"/>
                <w:color w:val="000000"/>
                <w:sz w:val="24"/>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45.54万元</w:t>
            </w:r>
          </w:p>
        </w:tc>
      </w:tr>
      <w:tr>
        <w:tblPrEx>
          <w:tblCellMar>
            <w:top w:w="0" w:type="dxa"/>
            <w:left w:w="0" w:type="dxa"/>
            <w:bottom w:w="0" w:type="dxa"/>
            <w:right w:w="0" w:type="dxa"/>
          </w:tblCellMar>
        </w:tblPrEx>
        <w:trPr>
          <w:trHeight w:val="2208"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rPr>
              <w:t>其它资金</w:t>
            </w:r>
            <w:r>
              <w:rPr>
                <w:rFonts w:hint="eastAsia" w:ascii="仿宋_GB2312" w:hAnsi="仿宋_GB2312" w:eastAsia="仿宋_GB2312" w:cs="仿宋_GB2312"/>
                <w:color w:val="000000"/>
                <w:kern w:val="0"/>
                <w:sz w:val="24"/>
                <w:lang w:eastAsia="zh-CN"/>
              </w:rPr>
              <w:t>：</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确保2019年全年档案馆综合大楼运转正常。</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全年大楼运转正常、管理规范有序，未出现任何安全事故，保证了市纪委监委、市委组织部、市国土资源局档案部门及市档案馆日常办公。</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4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水电畅通</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w:t>
            </w:r>
            <w:r>
              <w:rPr>
                <w:rStyle w:val="33"/>
                <w:rFonts w:hint="eastAsia" w:ascii="仿宋_GB2312" w:hAnsi="仿宋_GB2312" w:eastAsia="仿宋_GB2312" w:cs="仿宋_GB2312"/>
                <w:lang w:val="en-US" w:eastAsia="zh-CN" w:bidi="ar"/>
              </w:rPr>
              <w:t>12个月</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w:t>
            </w:r>
            <w:r>
              <w:rPr>
                <w:rStyle w:val="33"/>
                <w:rFonts w:hint="eastAsia" w:ascii="仿宋_GB2312" w:hAnsi="仿宋_GB2312" w:eastAsia="仿宋_GB2312" w:cs="仿宋_GB2312"/>
                <w:lang w:val="en-US" w:eastAsia="zh-CN" w:bidi="ar"/>
              </w:rPr>
              <w:t>12个月</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专用网络畅通</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w:t>
            </w:r>
            <w:r>
              <w:rPr>
                <w:rStyle w:val="33"/>
                <w:rFonts w:hint="eastAsia" w:ascii="仿宋_GB2312" w:hAnsi="仿宋_GB2312" w:eastAsia="仿宋_GB2312" w:cs="仿宋_GB2312"/>
                <w:lang w:val="en-US" w:eastAsia="zh-CN" w:bidi="ar"/>
              </w:rPr>
              <w:t>12个月</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w:t>
            </w:r>
            <w:r>
              <w:rPr>
                <w:rStyle w:val="33"/>
                <w:rFonts w:hint="eastAsia" w:ascii="仿宋_GB2312" w:hAnsi="仿宋_GB2312" w:eastAsia="仿宋_GB2312" w:cs="仿宋_GB2312"/>
                <w:lang w:val="en-US" w:eastAsia="zh-CN" w:bidi="ar"/>
              </w:rPr>
              <w:t>12个月</w:t>
            </w:r>
          </w:p>
        </w:tc>
      </w:tr>
      <w:tr>
        <w:tblPrEx>
          <w:tblCellMar>
            <w:top w:w="0" w:type="dxa"/>
            <w:left w:w="0" w:type="dxa"/>
            <w:bottom w:w="0" w:type="dxa"/>
            <w:right w:w="0" w:type="dxa"/>
          </w:tblCellMar>
        </w:tblPrEx>
        <w:trPr>
          <w:trHeight w:val="5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消防安全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每半年进行1次消防维保</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每半年完成1次消防维保</w:t>
            </w:r>
          </w:p>
        </w:tc>
      </w:tr>
      <w:tr>
        <w:tblPrEx>
          <w:tblCellMar>
            <w:top w:w="0" w:type="dxa"/>
            <w:left w:w="0" w:type="dxa"/>
            <w:bottom w:w="0" w:type="dxa"/>
            <w:right w:w="0" w:type="dxa"/>
          </w:tblCellMar>
        </w:tblPrEx>
        <w:trPr>
          <w:trHeight w:val="6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电梯运行安全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每半年进行1次电梯维护</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每半年完成了1次电梯检测维护</w:t>
            </w:r>
          </w:p>
        </w:tc>
      </w:tr>
      <w:tr>
        <w:tblPrEx>
          <w:tblCellMar>
            <w:top w:w="0" w:type="dxa"/>
            <w:left w:w="0" w:type="dxa"/>
            <w:bottom w:w="0" w:type="dxa"/>
            <w:right w:w="0" w:type="dxa"/>
          </w:tblCellMar>
        </w:tblPrEx>
        <w:trPr>
          <w:trHeight w:val="5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物业管理规范有序</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提供专业物业管理公司</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聘请富兴物业管理公司</w:t>
            </w:r>
          </w:p>
        </w:tc>
      </w:tr>
      <w:tr>
        <w:tblPrEx>
          <w:tblCellMar>
            <w:top w:w="0" w:type="dxa"/>
            <w:left w:w="0" w:type="dxa"/>
            <w:bottom w:w="0" w:type="dxa"/>
            <w:right w:w="0" w:type="dxa"/>
          </w:tblCellMar>
        </w:tblPrEx>
        <w:trPr>
          <w:trHeight w:val="42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零星维修及时</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不影响正常使用</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全年正常</w:t>
            </w:r>
          </w:p>
        </w:tc>
      </w:tr>
      <w:tr>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保证大楼运转正常</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≧360天</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≧360天</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完成时间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≧360天</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≧360天</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全年水电支出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15万元：水：4.14元/吨，电：0.8元/度</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全年水电费</w:t>
            </w:r>
            <w:r>
              <w:rPr>
                <w:rFonts w:hint="eastAsia" w:ascii="仿宋_GB2312" w:hAnsi="仿宋_GB2312" w:eastAsia="仿宋_GB2312" w:cs="仿宋_GB2312"/>
                <w:color w:val="000000"/>
                <w:sz w:val="24"/>
                <w:lang w:val="en-US" w:eastAsia="zh-CN"/>
              </w:rPr>
              <w:t>10万元</w:t>
            </w:r>
          </w:p>
        </w:tc>
      </w:tr>
      <w:tr>
        <w:tblPrEx>
          <w:tblCellMar>
            <w:top w:w="0" w:type="dxa"/>
            <w:left w:w="0" w:type="dxa"/>
            <w:bottom w:w="0" w:type="dxa"/>
            <w:right w:w="0" w:type="dxa"/>
          </w:tblCellMar>
        </w:tblPrEx>
        <w:trPr>
          <w:trHeight w:val="7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全年电梯维护支出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1万元：两部电梯维护及检测费，0.5万元/部</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1万元</w:t>
            </w:r>
          </w:p>
        </w:tc>
      </w:tr>
      <w:tr>
        <w:tblPrEx>
          <w:tblCellMar>
            <w:top w:w="0" w:type="dxa"/>
            <w:left w:w="0" w:type="dxa"/>
            <w:bottom w:w="0" w:type="dxa"/>
            <w:right w:w="0" w:type="dxa"/>
          </w:tblCellMar>
        </w:tblPrEx>
        <w:trPr>
          <w:trHeight w:val="78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物业管理费支出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15万元：物管费1.2万元/月，绿化费0.4万元/季度</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全年物业绿化费用</w:t>
            </w:r>
            <w:r>
              <w:rPr>
                <w:rFonts w:hint="eastAsia" w:ascii="仿宋_GB2312" w:hAnsi="仿宋_GB2312" w:eastAsia="仿宋_GB2312" w:cs="仿宋_GB2312"/>
                <w:color w:val="000000"/>
                <w:sz w:val="24"/>
                <w:lang w:val="en-US" w:eastAsia="zh-CN"/>
              </w:rPr>
              <w:t>14.5万元</w:t>
            </w:r>
          </w:p>
        </w:tc>
      </w:tr>
      <w:tr>
        <w:tblPrEx>
          <w:tblCellMar>
            <w:top w:w="0" w:type="dxa"/>
            <w:left w:w="0" w:type="dxa"/>
            <w:bottom w:w="0" w:type="dxa"/>
            <w:right w:w="0" w:type="dxa"/>
          </w:tblCellMar>
        </w:tblPrEx>
        <w:trPr>
          <w:trHeight w:val="473"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网络租赁费支出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8万元：6660元/月</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网络费</w:t>
            </w:r>
            <w:r>
              <w:rPr>
                <w:rFonts w:hint="eastAsia" w:ascii="仿宋_GB2312" w:hAnsi="仿宋_GB2312" w:eastAsia="仿宋_GB2312" w:cs="仿宋_GB2312"/>
                <w:color w:val="000000"/>
                <w:sz w:val="24"/>
                <w:lang w:val="en-US" w:eastAsia="zh-CN"/>
              </w:rPr>
              <w:t>12万元</w:t>
            </w:r>
          </w:p>
        </w:tc>
      </w:tr>
      <w:tr>
        <w:tblPrEx>
          <w:tblCellMar>
            <w:top w:w="0" w:type="dxa"/>
            <w:left w:w="0" w:type="dxa"/>
            <w:bottom w:w="0" w:type="dxa"/>
            <w:right w:w="0" w:type="dxa"/>
          </w:tblCellMar>
        </w:tblPrEx>
        <w:trPr>
          <w:trHeight w:val="802"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消防安全支出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4万元：消防维保护3万元/年，更换易耗消防器材1万元/年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3万元</w:t>
            </w:r>
          </w:p>
        </w:tc>
      </w:tr>
      <w:tr>
        <w:tblPrEx>
          <w:tblCellMar>
            <w:top w:w="0" w:type="dxa"/>
            <w:left w:w="0" w:type="dxa"/>
            <w:bottom w:w="0" w:type="dxa"/>
            <w:right w:w="0" w:type="dxa"/>
          </w:tblCellMar>
        </w:tblPrEx>
        <w:trPr>
          <w:trHeight w:val="792"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零星维修支出</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7万元：购买材料6万元，人工费1万元</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零星维修支出</w:t>
            </w:r>
            <w:r>
              <w:rPr>
                <w:rFonts w:hint="eastAsia" w:ascii="仿宋_GB2312" w:hAnsi="仿宋_GB2312" w:eastAsia="仿宋_GB2312" w:cs="仿宋_GB2312"/>
                <w:color w:val="000000"/>
                <w:sz w:val="24"/>
                <w:lang w:val="en-US" w:eastAsia="zh-CN"/>
              </w:rPr>
              <w:t>5万元</w:t>
            </w:r>
          </w:p>
        </w:tc>
      </w:tr>
      <w:tr>
        <w:tblPrEx>
          <w:tblCellMar>
            <w:top w:w="0" w:type="dxa"/>
            <w:left w:w="0" w:type="dxa"/>
            <w:bottom w:w="0" w:type="dxa"/>
            <w:right w:w="0" w:type="dxa"/>
          </w:tblCellMar>
        </w:tblPrEx>
        <w:trPr>
          <w:trHeight w:val="1050" w:hRule="atLeast"/>
          <w:jc w:val="center"/>
        </w:trPr>
        <w:tc>
          <w:tcPr>
            <w:tcW w:w="390" w:type="dxa"/>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i w:val="0"/>
                <w:color w:val="000000"/>
                <w:kern w:val="0"/>
                <w:sz w:val="24"/>
                <w:szCs w:val="24"/>
                <w:u w:val="none"/>
                <w:lang w:val="en-US" w:eastAsia="zh-CN" w:bidi="ar"/>
              </w:rPr>
              <w:t>效益指标</w:t>
            </w:r>
          </w:p>
        </w:tc>
        <w:tc>
          <w:tcPr>
            <w:tcW w:w="13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社会效益指标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对工作的促进做</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保证大楼的正常运行，促进工作正常开展</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4"/>
                <w:szCs w:val="24"/>
                <w:u w:val="none"/>
                <w:lang w:val="en-US" w:eastAsia="zh-CN" w:bidi="ar"/>
              </w:rPr>
              <w:t>保证了2019年大楼的正常运转</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可持续影响指标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大楼持续运转</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≧50年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2019年度运转正常</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群众满意度</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群众满意度</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≧95%</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0"/>
                <w:sz w:val="24"/>
                <w:szCs w:val="24"/>
                <w:u w:val="none"/>
                <w:lang w:val="en-US" w:eastAsia="zh-CN" w:bidi="ar"/>
              </w:rPr>
              <w:t>≧95%</w:t>
            </w:r>
          </w:p>
        </w:tc>
      </w:tr>
    </w:tbl>
    <w:p>
      <w:pPr>
        <w:keepNext w:val="0"/>
        <w:keepLines w:val="0"/>
        <w:pageBreakBefore w:val="0"/>
        <w:kinsoku/>
        <w:wordWrap/>
        <w:overflowPunct/>
        <w:topLinePunct w:val="0"/>
        <w:autoSpaceDE/>
        <w:autoSpaceDN/>
        <w:bidi w:val="0"/>
        <w:adjustRightInd/>
        <w:snapToGrid/>
        <w:spacing w:line="480" w:lineRule="exact"/>
        <w:ind w:left="630"/>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tbl>
      <w:tblPr>
        <w:tblStyle w:val="15"/>
        <w:tblpPr w:leftFromText="180" w:rightFromText="180" w:vertAnchor="text" w:horzAnchor="page" w:tblpXSpec="center" w:tblpY="423"/>
        <w:tblOverlap w:val="never"/>
        <w:tblW w:w="10232" w:type="dxa"/>
        <w:jc w:val="center"/>
        <w:tblLayout w:type="fixed"/>
        <w:tblCellMar>
          <w:top w:w="0" w:type="dxa"/>
          <w:left w:w="0" w:type="dxa"/>
          <w:bottom w:w="0" w:type="dxa"/>
          <w:right w:w="0" w:type="dxa"/>
        </w:tblCellMar>
      </w:tblPr>
      <w:tblGrid>
        <w:gridCol w:w="390"/>
        <w:gridCol w:w="1078"/>
        <w:gridCol w:w="1314"/>
        <w:gridCol w:w="1986"/>
        <w:gridCol w:w="2800"/>
        <w:gridCol w:w="2664"/>
      </w:tblGrid>
      <w:tr>
        <w:tblPrEx>
          <w:tblCellMar>
            <w:top w:w="0" w:type="dxa"/>
            <w:left w:w="0" w:type="dxa"/>
            <w:bottom w:w="0" w:type="dxa"/>
            <w:right w:w="0" w:type="dxa"/>
          </w:tblCellMar>
        </w:tblPrEx>
        <w:trPr>
          <w:trHeight w:val="1034" w:hRule="atLeast"/>
          <w:jc w:val="center"/>
        </w:trPr>
        <w:tc>
          <w:tcPr>
            <w:tcW w:w="1023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馆藏档案保管保护</w:t>
            </w:r>
            <w:r>
              <w:rPr>
                <w:rFonts w:hint="eastAsia" w:ascii="仿宋_GB2312" w:hAnsi="仿宋_GB2312" w:eastAsia="仿宋_GB2312" w:cs="仿宋_GB2312"/>
                <w:color w:val="000000"/>
                <w:sz w:val="24"/>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3.69万元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1、对档案馆馆藏38万卷（册）档案安全进行有效保管保护；2、对破损档案，特别是民国时期重点档案进行抢救修复；3、对破产企业等单位档案进行清理整理。</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1、对5个库房的相关设施进行维修更新；2、更换一批档案装具。</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4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馆藏档案进行生物防治保护</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13万卷（册）</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破损档案</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5万页</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5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破损档案装具</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5000个</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1000个</w:t>
            </w:r>
          </w:p>
        </w:tc>
      </w:tr>
      <w:tr>
        <w:tblPrEx>
          <w:tblCellMar>
            <w:top w:w="0" w:type="dxa"/>
            <w:left w:w="0" w:type="dxa"/>
            <w:bottom w:w="0" w:type="dxa"/>
            <w:right w:w="0" w:type="dxa"/>
          </w:tblCellMar>
        </w:tblPrEx>
        <w:trPr>
          <w:trHeight w:val="6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破产企业及撤销单位档案</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1.5万卷</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5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库房安全升级</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8个</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5个</w:t>
            </w:r>
          </w:p>
        </w:tc>
      </w:tr>
      <w:tr>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馆藏档案检查覆盖率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≥30%</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完成时间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2019年12月前</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破损档案抢救保护（裱糊、修复、数字化）</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2万页，3元/页</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7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检索系统维修升级</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 xml:space="preserve">5万元 </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78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破损档案盒更换</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 xml:space="preserve">10元/个  </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4.5元/个</w:t>
            </w:r>
          </w:p>
        </w:tc>
      </w:tr>
      <w:tr>
        <w:tblPrEx>
          <w:tblCellMar>
            <w:top w:w="0" w:type="dxa"/>
            <w:left w:w="0" w:type="dxa"/>
            <w:bottom w:w="0" w:type="dxa"/>
            <w:right w:w="0" w:type="dxa"/>
          </w:tblCellMar>
        </w:tblPrEx>
        <w:trPr>
          <w:trHeight w:val="473"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对接收撤销单位和破产企业档案清理整理费</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 xml:space="preserve">8元/卷  </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802"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档案库房设备维修更换</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5万元</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未完成</w:t>
            </w:r>
          </w:p>
        </w:tc>
      </w:tr>
      <w:tr>
        <w:tblPrEx>
          <w:tblCellMar>
            <w:top w:w="0" w:type="dxa"/>
            <w:left w:w="0" w:type="dxa"/>
            <w:bottom w:w="0" w:type="dxa"/>
            <w:right w:w="0" w:type="dxa"/>
          </w:tblCellMar>
        </w:tblPrEx>
        <w:trPr>
          <w:trHeight w:val="1050" w:hRule="atLeast"/>
          <w:jc w:val="center"/>
        </w:trPr>
        <w:tc>
          <w:tcPr>
            <w:tcW w:w="390" w:type="dxa"/>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i w:val="0"/>
                <w:color w:val="000000"/>
                <w:kern w:val="0"/>
                <w:sz w:val="24"/>
                <w:szCs w:val="24"/>
                <w:u w:val="none"/>
                <w:lang w:val="en-US" w:eastAsia="zh-CN" w:bidi="ar"/>
              </w:rPr>
              <w:t>效益指标</w:t>
            </w:r>
          </w:p>
        </w:tc>
        <w:tc>
          <w:tcPr>
            <w:tcW w:w="13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社会效益指标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对工作的促进作用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规范整理案卷归档，有效保存工作资料，方便档案查询</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可持续影响指标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档案使用年限</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永久</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eastAsia="zh-CN"/>
              </w:rPr>
            </w:pP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群众满意度</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档案使用者满意度</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≥98%</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eastAsia="zh-CN"/>
              </w:rPr>
            </w:pPr>
          </w:p>
        </w:tc>
      </w:tr>
    </w:tbl>
    <w:p>
      <w:pPr>
        <w:keepNext w:val="0"/>
        <w:keepLines w:val="0"/>
        <w:pageBreakBefore w:val="0"/>
        <w:kinsoku/>
        <w:wordWrap/>
        <w:overflowPunct/>
        <w:topLinePunct w:val="0"/>
        <w:autoSpaceDE/>
        <w:autoSpaceDN/>
        <w:bidi w:val="0"/>
        <w:adjustRightInd/>
        <w:snapToGrid/>
        <w:spacing w:line="480" w:lineRule="exact"/>
        <w:ind w:left="630"/>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_GB2312" w:hAnsi="仿宋_GB2312" w:eastAsia="仿宋_GB2312" w:cs="仿宋_GB2312"/>
          <w:sz w:val="32"/>
          <w:szCs w:val="32"/>
        </w:rPr>
      </w:pPr>
    </w:p>
    <w:tbl>
      <w:tblPr>
        <w:tblStyle w:val="15"/>
        <w:tblpPr w:leftFromText="180" w:rightFromText="180" w:vertAnchor="text" w:horzAnchor="page" w:tblpXSpec="center" w:tblpY="423"/>
        <w:tblOverlap w:val="never"/>
        <w:tblW w:w="10232" w:type="dxa"/>
        <w:jc w:val="center"/>
        <w:tblLayout w:type="fixed"/>
        <w:tblCellMar>
          <w:top w:w="0" w:type="dxa"/>
          <w:left w:w="0" w:type="dxa"/>
          <w:bottom w:w="0" w:type="dxa"/>
          <w:right w:w="0" w:type="dxa"/>
        </w:tblCellMar>
      </w:tblPr>
      <w:tblGrid>
        <w:gridCol w:w="390"/>
        <w:gridCol w:w="1078"/>
        <w:gridCol w:w="1314"/>
        <w:gridCol w:w="1986"/>
        <w:gridCol w:w="2800"/>
        <w:gridCol w:w="2664"/>
      </w:tblGrid>
      <w:tr>
        <w:tblPrEx>
          <w:tblCellMar>
            <w:top w:w="0" w:type="dxa"/>
            <w:left w:w="0" w:type="dxa"/>
            <w:bottom w:w="0" w:type="dxa"/>
            <w:right w:w="0" w:type="dxa"/>
          </w:tblCellMar>
        </w:tblPrEx>
        <w:trPr>
          <w:trHeight w:val="1034" w:hRule="atLeast"/>
          <w:jc w:val="center"/>
        </w:trPr>
        <w:tc>
          <w:tcPr>
            <w:tcW w:w="1023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38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爱国主义教育基地暨廉政教育基地改版项目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0万元</w:t>
            </w:r>
          </w:p>
        </w:tc>
      </w:tr>
      <w:tr>
        <w:tblPrEx>
          <w:tblCellMar>
            <w:top w:w="0" w:type="dxa"/>
            <w:left w:w="0" w:type="dxa"/>
            <w:bottom w:w="0" w:type="dxa"/>
            <w:right w:w="0" w:type="dxa"/>
          </w:tblCellMar>
        </w:tblPrEx>
        <w:trPr>
          <w:trHeight w:val="26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、完成“廉政广元、凤凰涅槃•浴火重生、法治广元、领导风采、同步全面小康、全市发展规划”6个板块改造。 2、收集、征集散存在社会民间对党和国家有保存价值的文书、图片、实物、音像等档案资料。重点收集党和国家领导人来广视察指导工作、重大活动、红色文化等档案资料。</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1、1、完成“廉政广元、凤凰涅槃•浴火重生、法治广元、领导风采、同步全面小康、全市发展规划”6个板块内容更新，未印制。2、免费征集了一批60-80年代的有时代印记的物件，比如收录机、录音机等。</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4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完成爱教基地六个版块的改造</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121平方米</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已完成爱教基地六个版块的内容的更新</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完成档案征集</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20件</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5件</w:t>
            </w:r>
          </w:p>
        </w:tc>
      </w:tr>
      <w:tr>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征集档案利用率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版块制作高清</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未完成</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完成时间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2019年12月前</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未完成</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改版费用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8万元</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未完成</w:t>
            </w:r>
          </w:p>
        </w:tc>
      </w:tr>
      <w:tr>
        <w:tblPrEx>
          <w:tblCellMar>
            <w:top w:w="0" w:type="dxa"/>
            <w:left w:w="0" w:type="dxa"/>
            <w:bottom w:w="0" w:type="dxa"/>
            <w:right w:w="0" w:type="dxa"/>
          </w:tblCellMar>
        </w:tblPrEx>
        <w:trPr>
          <w:trHeight w:val="7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征集成本</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5万元</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免费</w:t>
            </w:r>
          </w:p>
        </w:tc>
      </w:tr>
      <w:tr>
        <w:tblPrEx>
          <w:tblCellMar>
            <w:top w:w="0" w:type="dxa"/>
            <w:left w:w="0" w:type="dxa"/>
            <w:bottom w:w="0" w:type="dxa"/>
            <w:right w:w="0" w:type="dxa"/>
          </w:tblCellMar>
        </w:tblPrEx>
        <w:trPr>
          <w:trHeight w:val="789" w:hRule="atLeast"/>
          <w:jc w:val="center"/>
        </w:trPr>
        <w:tc>
          <w:tcPr>
            <w:tcW w:w="390" w:type="dxa"/>
            <w:tcBorders>
              <w:left w:val="single" w:color="000000"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劳务费</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2.92万元</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未完成</w:t>
            </w:r>
          </w:p>
        </w:tc>
      </w:tr>
      <w:tr>
        <w:tblPrEx>
          <w:tblCellMar>
            <w:top w:w="0" w:type="dxa"/>
            <w:left w:w="0" w:type="dxa"/>
            <w:bottom w:w="0" w:type="dxa"/>
            <w:right w:w="0" w:type="dxa"/>
          </w:tblCellMar>
        </w:tblPrEx>
        <w:trPr>
          <w:trHeight w:val="1034" w:hRule="atLeast"/>
          <w:jc w:val="center"/>
        </w:trPr>
        <w:tc>
          <w:tcPr>
            <w:tcW w:w="1023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pStyle w:val="2"/>
              <w:rPr>
                <w:rFonts w:hint="eastAsia" w:ascii="仿宋_GB2312" w:hAnsi="仿宋_GB2312" w:eastAsia="仿宋_GB2312" w:cs="仿宋_GB2312"/>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档案数字化扫描</w:t>
            </w:r>
            <w:r>
              <w:rPr>
                <w:rFonts w:hint="eastAsia" w:ascii="仿宋_GB2312" w:hAnsi="仿宋_GB2312" w:eastAsia="仿宋_GB2312" w:cs="仿宋_GB2312"/>
                <w:color w:val="000000"/>
                <w:sz w:val="24"/>
                <w:lang w:val="en-US" w:eastAsia="zh-CN"/>
              </w:rPr>
              <w:t>项目</w:t>
            </w:r>
            <w:r>
              <w:rPr>
                <w:rFonts w:hint="eastAsia" w:ascii="仿宋_GB2312" w:hAnsi="仿宋_GB2312" w:eastAsia="仿宋_GB2312" w:cs="仿宋_GB2312"/>
                <w:color w:val="000000"/>
                <w:sz w:val="24"/>
                <w:lang w:eastAsia="zh-CN"/>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115.66万元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115.66万元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2019年对档案馆现有馆藏档案进行数字化扫描加工150万页。</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实际完成</w:t>
            </w:r>
            <w:r>
              <w:rPr>
                <w:rFonts w:hint="eastAsia" w:ascii="仿宋_GB2312" w:hAnsi="仿宋_GB2312" w:eastAsia="仿宋_GB2312" w:cs="仿宋_GB2312"/>
                <w:color w:val="000000"/>
                <w:sz w:val="24"/>
              </w:rPr>
              <w:t>档案馆</w:t>
            </w:r>
            <w:r>
              <w:rPr>
                <w:rFonts w:hint="eastAsia" w:ascii="仿宋_GB2312" w:hAnsi="仿宋_GB2312" w:eastAsia="仿宋_GB2312" w:cs="仿宋_GB2312"/>
                <w:color w:val="000000"/>
                <w:sz w:val="24"/>
                <w:lang w:val="en-US" w:eastAsia="zh-CN"/>
              </w:rPr>
              <w:t>269万页的扫描任务。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4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数字化扫描页数</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150万页</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269万页</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著录条数</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32.5万条</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10万条</w:t>
            </w:r>
          </w:p>
        </w:tc>
      </w:tr>
      <w:tr>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验收合格率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≥95%</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≥95%</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完成时间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2019年12月前</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按期完成</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档案清理、扫描、著录、数据效验、存储备份等</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0.29元/页</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0.29元/页</w:t>
            </w:r>
          </w:p>
        </w:tc>
      </w:tr>
      <w:tr>
        <w:tblPrEx>
          <w:tblCellMar>
            <w:top w:w="0" w:type="dxa"/>
            <w:left w:w="0" w:type="dxa"/>
            <w:bottom w:w="0" w:type="dxa"/>
            <w:right w:w="0" w:type="dxa"/>
          </w:tblCellMar>
        </w:tblPrEx>
        <w:trPr>
          <w:trHeight w:val="7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档案著录</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2"/>
                <w:szCs w:val="22"/>
                <w:u w:val="none"/>
                <w:lang w:val="en-US" w:eastAsia="zh-CN" w:bidi="ar"/>
              </w:rPr>
              <w:t>0.2元/条</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2"/>
                <w:szCs w:val="22"/>
                <w:u w:val="none"/>
                <w:lang w:val="en-US" w:eastAsia="zh-CN" w:bidi="ar"/>
              </w:rPr>
              <w:t>0.2元/条</w:t>
            </w:r>
          </w:p>
        </w:tc>
      </w:tr>
      <w:tr>
        <w:tblPrEx>
          <w:tblCellMar>
            <w:top w:w="0" w:type="dxa"/>
            <w:left w:w="0" w:type="dxa"/>
            <w:bottom w:w="0" w:type="dxa"/>
            <w:right w:w="0" w:type="dxa"/>
          </w:tblCellMar>
        </w:tblPrEx>
        <w:trPr>
          <w:trHeight w:val="1050" w:hRule="atLeast"/>
          <w:jc w:val="center"/>
        </w:trPr>
        <w:tc>
          <w:tcPr>
            <w:tcW w:w="390" w:type="dxa"/>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i w:val="0"/>
                <w:color w:val="000000"/>
                <w:kern w:val="0"/>
                <w:sz w:val="24"/>
                <w:szCs w:val="24"/>
                <w:u w:val="none"/>
                <w:lang w:val="en-US" w:eastAsia="zh-CN" w:bidi="ar"/>
              </w:rPr>
              <w:t>效益指标</w:t>
            </w:r>
          </w:p>
        </w:tc>
        <w:tc>
          <w:tcPr>
            <w:tcW w:w="13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社会效益指标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对工作的促进作用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永久保存档案，降低保管成本，提高档案使用效率，为数字档案馆建设做基础准备。</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可持续影响指标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档案使用年限</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永久</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0"/>
                <w:sz w:val="22"/>
                <w:szCs w:val="22"/>
                <w:u w:val="none"/>
                <w:lang w:val="en-US" w:eastAsia="zh-CN" w:bidi="ar"/>
              </w:rPr>
              <w:t>永久</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群众满意度</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2"/>
                <w:szCs w:val="22"/>
                <w:u w:val="none"/>
                <w:lang w:val="en-US" w:eastAsia="zh-CN" w:bidi="ar"/>
              </w:rPr>
              <w:t>档案使用者满意度</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≥95%</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0"/>
                <w:sz w:val="22"/>
                <w:szCs w:val="22"/>
                <w:u w:val="none"/>
                <w:lang w:val="en-US" w:eastAsia="zh-CN" w:bidi="ar"/>
              </w:rPr>
              <w:t>≥95%</w:t>
            </w:r>
          </w:p>
        </w:tc>
      </w:tr>
    </w:tbl>
    <w:p>
      <w:pPr>
        <w:keepNext w:val="0"/>
        <w:keepLines w:val="0"/>
        <w:pageBreakBefore w:val="0"/>
        <w:kinsoku/>
        <w:wordWrap/>
        <w:overflowPunct/>
        <w:topLinePunct w:val="0"/>
        <w:autoSpaceDE/>
        <w:autoSpaceDN/>
        <w:bidi w:val="0"/>
        <w:adjustRightInd/>
        <w:snapToGrid/>
        <w:spacing w:line="480" w:lineRule="exact"/>
        <w:ind w:left="630"/>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32"/>
          <w:szCs w:val="32"/>
        </w:rPr>
      </w:pPr>
    </w:p>
    <w:tbl>
      <w:tblPr>
        <w:tblStyle w:val="15"/>
        <w:tblpPr w:leftFromText="180" w:rightFromText="180" w:vertAnchor="text" w:horzAnchor="page" w:tblpXSpec="center" w:tblpY="423"/>
        <w:tblOverlap w:val="never"/>
        <w:tblW w:w="10232" w:type="dxa"/>
        <w:jc w:val="center"/>
        <w:tblLayout w:type="fixed"/>
        <w:tblCellMar>
          <w:top w:w="0" w:type="dxa"/>
          <w:left w:w="0" w:type="dxa"/>
          <w:bottom w:w="0" w:type="dxa"/>
          <w:right w:w="0" w:type="dxa"/>
        </w:tblCellMar>
      </w:tblPr>
      <w:tblGrid>
        <w:gridCol w:w="390"/>
        <w:gridCol w:w="1078"/>
        <w:gridCol w:w="1314"/>
        <w:gridCol w:w="1986"/>
        <w:gridCol w:w="2800"/>
        <w:gridCol w:w="2664"/>
      </w:tblGrid>
      <w:tr>
        <w:tblPrEx>
          <w:tblCellMar>
            <w:top w:w="0" w:type="dxa"/>
            <w:left w:w="0" w:type="dxa"/>
            <w:bottom w:w="0" w:type="dxa"/>
            <w:right w:w="0" w:type="dxa"/>
          </w:tblCellMar>
        </w:tblPrEx>
        <w:trPr>
          <w:trHeight w:val="1034" w:hRule="atLeast"/>
          <w:jc w:val="center"/>
        </w:trPr>
        <w:tc>
          <w:tcPr>
            <w:tcW w:w="10232"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扶贫专项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4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3.72万元</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43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基本保证第一书记和工作队员驻村期间的工作需要。</w:t>
            </w:r>
          </w:p>
        </w:tc>
        <w:tc>
          <w:tcPr>
            <w:tcW w:w="546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基本保证第一书记</w:t>
            </w:r>
            <w:r>
              <w:rPr>
                <w:rFonts w:hint="eastAsia" w:ascii="仿宋_GB2312" w:hAnsi="仿宋_GB2312" w:eastAsia="仿宋_GB2312" w:cs="仿宋_GB2312"/>
                <w:color w:val="000000"/>
                <w:sz w:val="24"/>
                <w:lang w:eastAsia="zh-CN"/>
              </w:rPr>
              <w:t>的生活补助和</w:t>
            </w:r>
            <w:r>
              <w:rPr>
                <w:rFonts w:hint="eastAsia" w:ascii="仿宋_GB2312" w:hAnsi="仿宋_GB2312" w:eastAsia="仿宋_GB2312" w:cs="仿宋_GB2312"/>
                <w:color w:val="000000"/>
                <w:sz w:val="24"/>
              </w:rPr>
              <w:t>工作需要。</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44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目</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完</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成</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指</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w:t>
            </w: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数量指标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提供第一书记和工作队员人身意外保险</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3人</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提供体检</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3人，一年1次</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提供租房补助</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1套</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67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提供办公必需品</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印刷、宣传、办公用品</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第一书记生活补贴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2人</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质量指标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第一书记及驻村队员脱岗天数</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Style w:val="34"/>
                <w:rFonts w:hint="eastAsia" w:ascii="仿宋_GB2312" w:hAnsi="仿宋_GB2312" w:eastAsia="仿宋_GB2312" w:cs="仿宋_GB2312"/>
                <w:lang w:val="en-US" w:eastAsia="zh-CN" w:bidi="ar"/>
              </w:rPr>
              <w:t>&lt;</w:t>
            </w:r>
            <w:r>
              <w:rPr>
                <w:rFonts w:hint="eastAsia" w:ascii="仿宋_GB2312" w:hAnsi="仿宋_GB2312" w:eastAsia="仿宋_GB2312" w:cs="仿宋_GB2312"/>
                <w:i w:val="0"/>
                <w:color w:val="000000"/>
                <w:kern w:val="0"/>
                <w:sz w:val="24"/>
                <w:szCs w:val="24"/>
                <w:u w:val="none"/>
                <w:lang w:val="en-US" w:eastAsia="zh-CN" w:bidi="ar"/>
              </w:rPr>
              <w:t>1天 不能有脱岗情况</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第一书记及驻村队员重大疾病发生率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Style w:val="35"/>
                <w:rFonts w:hint="eastAsia" w:ascii="仿宋_GB2312" w:hAnsi="仿宋_GB2312" w:eastAsia="仿宋_GB2312" w:cs="仿宋_GB2312"/>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 xml:space="preserve">0.5% </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时效指标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完成时间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2019年12月31日前</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5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成本指标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人身意外险</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600元：200元/人/年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76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体检</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4500元：1500元/人/年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78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租房</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3500元/套/年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473"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办公费用</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6400元：印刷费：3000元/年 办公用品购置费3400元/年</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按预期值完成</w:t>
            </w:r>
          </w:p>
        </w:tc>
      </w:tr>
      <w:tr>
        <w:tblPrEx>
          <w:tblCellMar>
            <w:top w:w="0" w:type="dxa"/>
            <w:left w:w="0" w:type="dxa"/>
            <w:bottom w:w="0" w:type="dxa"/>
            <w:right w:w="0" w:type="dxa"/>
          </w:tblCellMar>
        </w:tblPrEx>
        <w:trPr>
          <w:trHeight w:val="802"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p>
        </w:tc>
        <w:tc>
          <w:tcPr>
            <w:tcW w:w="131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color w:val="000000"/>
                <w:sz w:val="24"/>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生活补贴</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50元/人/天</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仅包括第一书记</w:t>
            </w:r>
          </w:p>
        </w:tc>
      </w:tr>
      <w:tr>
        <w:tblPrEx>
          <w:tblCellMar>
            <w:top w:w="0" w:type="dxa"/>
            <w:left w:w="0" w:type="dxa"/>
            <w:bottom w:w="0" w:type="dxa"/>
            <w:right w:w="0" w:type="dxa"/>
          </w:tblCellMar>
        </w:tblPrEx>
        <w:trPr>
          <w:trHeight w:val="1050" w:hRule="atLeast"/>
          <w:jc w:val="center"/>
        </w:trPr>
        <w:tc>
          <w:tcPr>
            <w:tcW w:w="390" w:type="dxa"/>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i w:val="0"/>
                <w:color w:val="000000"/>
                <w:kern w:val="0"/>
                <w:sz w:val="24"/>
                <w:szCs w:val="24"/>
                <w:u w:val="none"/>
                <w:lang w:val="en-US" w:eastAsia="zh-CN" w:bidi="ar"/>
              </w:rPr>
              <w:t>效益指标</w:t>
            </w:r>
          </w:p>
        </w:tc>
        <w:tc>
          <w:tcPr>
            <w:tcW w:w="13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社会效益指标</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群众脱贫率</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color w:val="000000"/>
                <w:kern w:val="0"/>
                <w:sz w:val="24"/>
                <w:szCs w:val="24"/>
                <w:u w:val="none"/>
                <w:lang w:val="en-US" w:eastAsia="zh-CN" w:bidi="ar"/>
              </w:rPr>
              <w:t>满意度指标</w:t>
            </w:r>
          </w:p>
        </w:tc>
        <w:tc>
          <w:tcPr>
            <w:tcW w:w="131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i w:val="0"/>
                <w:color w:val="000000"/>
                <w:kern w:val="0"/>
                <w:sz w:val="24"/>
                <w:szCs w:val="24"/>
                <w:u w:val="none"/>
                <w:lang w:val="en-US" w:eastAsia="zh-CN" w:bidi="ar"/>
              </w:rPr>
              <w:t>群众满意度</w:t>
            </w: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帮扶对象满意度</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31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帮扶村其他群众满意度</w:t>
            </w:r>
          </w:p>
        </w:tc>
        <w:tc>
          <w:tcPr>
            <w:tcW w:w="2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≧95%</w:t>
            </w:r>
          </w:p>
        </w:tc>
        <w:tc>
          <w:tcPr>
            <w:tcW w:w="2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0"/>
                <w:sz w:val="24"/>
                <w:szCs w:val="24"/>
                <w:u w:val="none"/>
                <w:lang w:val="en-US" w:eastAsia="zh-CN" w:bidi="ar"/>
              </w:rPr>
              <w:t>≧95%</w:t>
            </w:r>
          </w:p>
        </w:tc>
      </w:tr>
    </w:tbl>
    <w:p>
      <w:pPr>
        <w:pageBreakBefore w:val="0"/>
        <w:kinsoku/>
        <w:wordWrap/>
        <w:overflowPunct/>
        <w:topLinePunct w:val="0"/>
        <w:bidi w:val="0"/>
        <w:spacing w:line="560" w:lineRule="exact"/>
        <w:ind w:left="63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pageBreakBefore w:val="0"/>
        <w:kinsoku/>
        <w:wordWrap/>
        <w:overflowPunct/>
        <w:topLinePunct w:val="0"/>
        <w:bidi w:val="0"/>
        <w:spacing w:line="560" w:lineRule="exact"/>
        <w:ind w:left="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2.部门绩效评价结果。</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广元市档案馆</w:t>
      </w:r>
      <w:r>
        <w:rPr>
          <w:rFonts w:hint="eastAsia" w:ascii="仿宋_GB2312" w:hAnsi="仿宋_GB2312" w:eastAsia="仿宋_GB2312" w:cs="仿宋_GB2312"/>
          <w:sz w:val="32"/>
          <w:szCs w:val="32"/>
        </w:rPr>
        <w:t>部门2019年部门整体支出绩效评价报告》见附件</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本部门无专项预算项目，因此未组织开展项目支出绩效评价。</w:t>
      </w:r>
    </w:p>
    <w:p>
      <w:pPr>
        <w:pageBreakBefore w:val="0"/>
        <w:widowControl/>
        <w:kinsoku/>
        <w:wordWrap/>
        <w:overflowPunct/>
        <w:topLinePunct w:val="0"/>
        <w:bidi w:val="0"/>
        <w:spacing w:line="560" w:lineRule="exact"/>
        <w:jc w:val="left"/>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pStyle w:val="2"/>
        <w:rPr>
          <w:rFonts w:hint="eastAsia" w:ascii="仿宋_GB2312" w:hAnsi="仿宋_GB2312" w:eastAsia="仿宋_GB2312" w:cs="仿宋_GB2312"/>
          <w:b/>
          <w:color w:val="000000"/>
          <w:sz w:val="32"/>
          <w:szCs w:val="32"/>
        </w:rPr>
      </w:pPr>
    </w:p>
    <w:p>
      <w:pPr>
        <w:numPr>
          <w:ilvl w:val="0"/>
          <w:numId w:val="4"/>
        </w:numPr>
        <w:spacing w:line="600" w:lineRule="exact"/>
        <w:ind w:firstLine="663" w:firstLineChars="150"/>
        <w:jc w:val="center"/>
        <w:outlineLvl w:val="0"/>
        <w:rPr>
          <w:rStyle w:val="27"/>
          <w:rFonts w:hint="eastAsia" w:ascii="黑体" w:hAnsi="黑体" w:eastAsia="黑体" w:cs="黑体"/>
          <w:b/>
          <w:bCs/>
        </w:rPr>
      </w:pPr>
      <w:bookmarkStart w:id="85" w:name="_Toc15869"/>
      <w:bookmarkStart w:id="86" w:name="_Toc15396613"/>
      <w:bookmarkStart w:id="87" w:name="_Toc15377225"/>
      <w:r>
        <w:rPr>
          <w:rFonts w:hint="eastAsia" w:ascii="黑体" w:hAnsi="黑体" w:eastAsia="黑体" w:cs="黑体"/>
          <w:b/>
          <w:bCs/>
          <w:color w:val="000000"/>
          <w:sz w:val="44"/>
          <w:szCs w:val="44"/>
        </w:rPr>
        <w:t>名</w:t>
      </w:r>
      <w:r>
        <w:rPr>
          <w:rStyle w:val="27"/>
          <w:rFonts w:hint="eastAsia" w:ascii="黑体" w:hAnsi="黑体" w:eastAsia="黑体" w:cs="黑体"/>
          <w:b/>
          <w:bCs/>
        </w:rPr>
        <w:t>词</w:t>
      </w:r>
      <w:r>
        <w:rPr>
          <w:rFonts w:hint="eastAsia" w:ascii="黑体" w:hAnsi="黑体" w:eastAsia="黑体" w:cs="黑体"/>
          <w:b/>
          <w:bCs/>
          <w:color w:val="000000"/>
          <w:sz w:val="44"/>
          <w:szCs w:val="44"/>
        </w:rPr>
        <w:t>解释</w:t>
      </w:r>
      <w:bookmarkEnd w:id="85"/>
      <w:bookmarkEnd w:id="86"/>
      <w:bookmarkEnd w:id="87"/>
    </w:p>
    <w:p>
      <w:pPr>
        <w:pageBreakBefore w:val="0"/>
        <w:kinsoku/>
        <w:wordWrap/>
        <w:overflowPunct/>
        <w:topLinePunct w:val="0"/>
        <w:bidi w:val="0"/>
        <w:spacing w:line="560" w:lineRule="exact"/>
        <w:jc w:val="left"/>
        <w:rPr>
          <w:rFonts w:hint="eastAsia" w:ascii="仿宋_GB2312" w:hAnsi="仿宋_GB2312" w:eastAsia="仿宋_GB2312" w:cs="仿宋_GB2312"/>
          <w:b/>
          <w:color w:val="000000"/>
          <w:sz w:val="44"/>
          <w:szCs w:val="44"/>
        </w:rPr>
      </w:pPr>
    </w:p>
    <w:p>
      <w:pPr>
        <w:pStyle w:val="25"/>
        <w:pageBreakBefore w:val="0"/>
        <w:kinsoku/>
        <w:wordWrap/>
        <w:overflowPunct/>
        <w:topLinePunct w:val="0"/>
        <w:bidi w:val="0"/>
        <w:spacing w:before="93"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1.财政拨款收入：指市级财政当年拨付的资金。 </w:t>
      </w:r>
    </w:p>
    <w:p>
      <w:pPr>
        <w:pStyle w:val="25"/>
        <w:pageBreakBefore w:val="0"/>
        <w:kinsoku/>
        <w:wordWrap/>
        <w:overflowPunct/>
        <w:topLinePunct w:val="0"/>
        <w:bidi w:val="0"/>
        <w:spacing w:before="93"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2.其他收入：主要是银行利息收入</w:t>
      </w:r>
      <w:r>
        <w:rPr>
          <w:rFonts w:hint="eastAsia" w:ascii="仿宋_GB2312" w:hAnsi="仿宋_GB2312" w:eastAsia="仿宋_GB2312" w:cs="仿宋_GB2312"/>
          <w:color w:val="auto"/>
          <w:sz w:val="32"/>
          <w:szCs w:val="32"/>
          <w:lang w:eastAsia="zh-CN"/>
        </w:rPr>
        <w:t>和国家、省下达的专项资金</w:t>
      </w:r>
      <w:r>
        <w:rPr>
          <w:rFonts w:hint="eastAsia" w:ascii="仿宋_GB2312" w:hAnsi="仿宋_GB2312" w:eastAsia="仿宋_GB2312" w:cs="仿宋_GB2312"/>
          <w:color w:val="auto"/>
          <w:sz w:val="32"/>
          <w:szCs w:val="32"/>
        </w:rPr>
        <w:t>。</w:t>
      </w:r>
    </w:p>
    <w:p>
      <w:pPr>
        <w:pStyle w:val="25"/>
        <w:pageBreakBefore w:val="0"/>
        <w:kinsoku/>
        <w:wordWrap/>
        <w:overflowPunct/>
        <w:topLinePunct w:val="0"/>
        <w:bidi w:val="0"/>
        <w:spacing w:before="93"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3.年初结转和结余：指以前年度尚未完成、结转到本年按有关规定继续使用的资金。 </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4.一般公共服务（类）档案事务（款）行政运行（项）：指单位的人员工资及日常工作基本支出。</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5.一般公共服务（类）档案事务（款）档案馆（项）：指档案资料征集，档案抢救、提供、利用，档案馆设备购置、维护，档案陈列展览等方面支出。</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社会保障和就业（类）行政事业单位离退休（款）</w:t>
      </w:r>
      <w:r>
        <w:rPr>
          <w:rFonts w:hint="eastAsia" w:ascii="仿宋_GB2312" w:hAnsi="仿宋_GB2312" w:eastAsia="仿宋_GB2312" w:cs="仿宋_GB2312"/>
          <w:sz w:val="32"/>
          <w:szCs w:val="32"/>
          <w:lang w:eastAsia="zh-CN"/>
        </w:rPr>
        <w:t>事业单位离退休</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：主要指</w:t>
      </w:r>
      <w:r>
        <w:rPr>
          <w:rFonts w:hint="eastAsia" w:ascii="仿宋_GB2312" w:hAnsi="仿宋_GB2312" w:eastAsia="仿宋_GB2312" w:cs="仿宋_GB2312"/>
          <w:sz w:val="32"/>
          <w:szCs w:val="32"/>
          <w:lang w:val="en-US" w:eastAsia="zh-CN"/>
        </w:rPr>
        <w:t>2004年之前退休干部的医疗补助费。</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.社会保障和就业（类）行政事业单位离退休（款）机关事业单位基本养老保险缴费支出（项）：指单位为职工缴纳的并轨养老保险。</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社会保障和就业（类）行政事业单位离退休（款）机关事业单位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死亡抚恤</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指按规定用于病故人员家属一次性和定期抚恤金以及丧葬补助费。</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专指除养老、医疗以外的其他社会保险，例如失业、工伤等。</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医疗卫生与计划生育（类）医疗保障（款）事业单位医疗（项）:指单位为职工缴纳的医疗、生育、工伤、失业保险。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住房保障（类）住房改革（款）住房公积金（项）:指单位为职工缴纳的住房公积金。</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基本支出：指为保障机构正常运转、完成日常工作任务而发生的人员支出和公用支出。</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pStyle w:val="25"/>
        <w:pageBreakBefore w:val="0"/>
        <w:kinsoku/>
        <w:wordWrap/>
        <w:overflowPunct/>
        <w:topLinePunct w:val="0"/>
        <w:bidi w:val="0"/>
        <w:spacing w:before="93"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5"/>
        <w:pageBreakBefore w:val="0"/>
        <w:kinsoku/>
        <w:wordWrap/>
        <w:overflowPunct/>
        <w:topLinePunct w:val="0"/>
        <w:bidi w:val="0"/>
        <w:spacing w:before="93"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p>
    <w:p>
      <w:pPr>
        <w:pageBreakBefore w:val="0"/>
        <w:kinsoku/>
        <w:wordWrap/>
        <w:overflowPunct/>
        <w:topLinePunct w:val="0"/>
        <w:bidi w:val="0"/>
        <w:spacing w:line="560" w:lineRule="exact"/>
        <w:jc w:val="center"/>
        <w:outlineLvl w:val="0"/>
        <w:rPr>
          <w:rStyle w:val="27"/>
          <w:rFonts w:hint="eastAsia" w:ascii="仿宋_GB2312" w:hAnsi="仿宋_GB2312" w:eastAsia="仿宋_GB2312" w:cs="仿宋_GB2312"/>
          <w:b w:val="0"/>
        </w:rPr>
      </w:pPr>
      <w:bookmarkStart w:id="88" w:name="_Toc15377226"/>
      <w:r>
        <w:rPr>
          <w:rFonts w:hint="eastAsia" w:ascii="仿宋_GB2312" w:hAnsi="仿宋_GB2312" w:eastAsia="仿宋_GB2312" w:cs="仿宋_GB2312"/>
          <w:b/>
          <w:color w:val="000000"/>
          <w:sz w:val="44"/>
          <w:szCs w:val="44"/>
        </w:rPr>
        <w:br w:type="page"/>
      </w:r>
      <w:bookmarkStart w:id="89" w:name="_Toc15396614"/>
      <w:bookmarkStart w:id="90" w:name="_Toc30838"/>
      <w:r>
        <w:rPr>
          <w:rFonts w:hint="eastAsia" w:ascii="黑体" w:hAnsi="黑体" w:eastAsia="黑体" w:cs="黑体"/>
          <w:b/>
          <w:bCs/>
          <w:color w:val="000000"/>
          <w:sz w:val="44"/>
          <w:szCs w:val="44"/>
        </w:rPr>
        <w:t>第</w:t>
      </w:r>
      <w:r>
        <w:rPr>
          <w:rStyle w:val="27"/>
          <w:rFonts w:hint="eastAsia" w:ascii="黑体" w:hAnsi="黑体" w:eastAsia="黑体" w:cs="黑体"/>
          <w:b/>
          <w:bCs/>
        </w:rPr>
        <w:t>四部分 附件</w:t>
      </w:r>
      <w:bookmarkEnd w:id="89"/>
      <w:bookmarkEnd w:id="90"/>
    </w:p>
    <w:p>
      <w:pPr>
        <w:pageBreakBefore w:val="0"/>
        <w:kinsoku/>
        <w:wordWrap/>
        <w:overflowPunct/>
        <w:topLinePunct w:val="0"/>
        <w:bidi w:val="0"/>
        <w:spacing w:line="560" w:lineRule="exact"/>
        <w:jc w:val="center"/>
        <w:rPr>
          <w:rFonts w:hint="eastAsia" w:ascii="仿宋_GB2312" w:hAnsi="仿宋_GB2312" w:eastAsia="仿宋_GB2312" w:cs="仿宋_GB2312"/>
          <w:sz w:val="44"/>
          <w:szCs w:val="44"/>
        </w:rPr>
      </w:pPr>
    </w:p>
    <w:p>
      <w:pPr>
        <w:pageBreakBefore w:val="0"/>
        <w:kinsoku/>
        <w:wordWrap/>
        <w:overflowPunct/>
        <w:topLinePunct w:val="0"/>
        <w:bidi w:val="0"/>
        <w:spacing w:line="560" w:lineRule="exact"/>
        <w:jc w:val="center"/>
        <w:rPr>
          <w:rFonts w:hint="eastAsia" w:ascii="方正小标宋简体" w:hAnsi="方正小标宋简体" w:eastAsia="方正小标宋简体" w:cs="方正小标宋简体"/>
          <w:b/>
          <w:bCs/>
          <w:color w:val="000000"/>
          <w:kern w:val="0"/>
          <w:sz w:val="40"/>
          <w:szCs w:val="44"/>
          <w:lang w:eastAsia="zh-CN"/>
        </w:rPr>
      </w:pPr>
      <w:r>
        <w:rPr>
          <w:rFonts w:hint="eastAsia" w:ascii="方正小标宋简体" w:hAnsi="方正小标宋简体" w:eastAsia="方正小标宋简体" w:cs="方正小标宋简体"/>
          <w:b/>
          <w:bCs/>
          <w:color w:val="000000"/>
          <w:kern w:val="0"/>
          <w:sz w:val="40"/>
          <w:szCs w:val="44"/>
          <w:lang w:eastAsia="zh-CN"/>
        </w:rPr>
        <w:t>广元市档案馆</w:t>
      </w:r>
    </w:p>
    <w:p>
      <w:pPr>
        <w:pageBreakBefore w:val="0"/>
        <w:kinsoku/>
        <w:wordWrap/>
        <w:overflowPunct/>
        <w:topLinePunct w:val="0"/>
        <w:bidi w:val="0"/>
        <w:spacing w:line="560" w:lineRule="exact"/>
        <w:jc w:val="center"/>
        <w:rPr>
          <w:rFonts w:hint="eastAsia" w:ascii="方正小标宋简体" w:hAnsi="方正小标宋简体" w:eastAsia="方正小标宋简体" w:cs="方正小标宋简体"/>
          <w:b/>
          <w:bCs/>
          <w:color w:val="000000"/>
          <w:kern w:val="0"/>
          <w:sz w:val="40"/>
          <w:szCs w:val="44"/>
          <w:lang w:val="zh-CN"/>
        </w:rPr>
      </w:pPr>
      <w:r>
        <w:rPr>
          <w:rFonts w:hint="eastAsia" w:ascii="方正小标宋简体" w:hAnsi="方正小标宋简体" w:eastAsia="方正小标宋简体" w:cs="方正小标宋简体"/>
          <w:b/>
          <w:bCs/>
          <w:color w:val="000000"/>
          <w:kern w:val="0"/>
          <w:sz w:val="40"/>
          <w:szCs w:val="44"/>
        </w:rPr>
        <w:t>2019年部门</w:t>
      </w:r>
      <w:r>
        <w:rPr>
          <w:rFonts w:hint="eastAsia" w:ascii="方正小标宋简体" w:hAnsi="方正小标宋简体" w:eastAsia="方正小标宋简体" w:cs="方正小标宋简体"/>
          <w:b/>
          <w:bCs/>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560" w:lineRule="exact"/>
        <w:ind w:firstLine="480" w:firstLineChars="200"/>
        <w:contextualSpacing/>
        <w:jc w:val="left"/>
        <w:rPr>
          <w:rFonts w:hint="eastAsia" w:ascii="黑体" w:hAnsi="黑体" w:eastAsia="黑体" w:cs="黑体"/>
          <w:color w:val="000000"/>
          <w:kern w:val="0"/>
          <w:sz w:val="24"/>
          <w:szCs w:val="32"/>
          <w:shd w:val="clear" w:color="auto" w:fill="FFFFFF"/>
        </w:rPr>
      </w:pP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 w:hAnsi="楷体" w:eastAsia="楷体" w:cs="楷体"/>
          <w:b/>
          <w:bCs/>
          <w:color w:val="000000"/>
          <w:kern w:val="0"/>
          <w:sz w:val="32"/>
          <w:szCs w:val="32"/>
          <w:shd w:val="clear" w:color="auto" w:fill="FFFFFF"/>
          <w:lang w:val="zh-CN"/>
        </w:rPr>
        <w:t>（一）机构组成。</w:t>
      </w:r>
      <w:r>
        <w:rPr>
          <w:rFonts w:hint="eastAsia" w:ascii="仿宋_GB2312" w:hAnsi="仿宋_GB2312" w:eastAsia="仿宋_GB2312" w:cs="仿宋_GB2312"/>
          <w:color w:val="000000"/>
          <w:kern w:val="0"/>
          <w:sz w:val="32"/>
          <w:szCs w:val="32"/>
          <w:shd w:val="clear" w:color="auto" w:fill="FFFFFF"/>
          <w:lang w:val="zh-CN"/>
        </w:rPr>
        <w:t>广元市档案馆属于市委直属事业单位（参照公务员法管理），下属</w:t>
      </w:r>
      <w:r>
        <w:rPr>
          <w:rFonts w:hint="eastAsia" w:ascii="仿宋_GB2312" w:hAnsi="仿宋_GB2312" w:eastAsia="仿宋_GB2312" w:cs="仿宋_GB2312"/>
          <w:color w:val="000000"/>
          <w:kern w:val="0"/>
          <w:sz w:val="32"/>
          <w:szCs w:val="32"/>
          <w:shd w:val="clear" w:color="auto" w:fill="FFFFFF"/>
          <w:lang w:val="en-US" w:eastAsia="zh-CN"/>
        </w:rPr>
        <w:t>1个财政全额拨款事业单位市现行文件服务中心，未独立核算。</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p>
    <w:p>
      <w:pPr>
        <w:pageBreakBefore w:val="0"/>
        <w:numPr>
          <w:ilvl w:val="0"/>
          <w:numId w:val="0"/>
        </w:numPr>
        <w:kinsoku/>
        <w:wordWrap/>
        <w:overflowPunct/>
        <w:topLinePunct w:val="0"/>
        <w:bidi w:val="0"/>
        <w:spacing w:line="560" w:lineRule="exact"/>
        <w:ind w:firstLine="643"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对县（区）档馆业务进行指导。</w:t>
      </w:r>
      <w:r>
        <w:rPr>
          <w:rFonts w:hint="eastAsia" w:ascii="仿宋_GB2312" w:hAnsi="仿宋_GB2312" w:eastAsia="仿宋_GB2312" w:cs="仿宋_GB2312"/>
          <w:sz w:val="32"/>
          <w:szCs w:val="32"/>
        </w:rPr>
        <w:t>组织开展档案学术研究、馆际合作和业务交流。完成市委、市政府交办的其他任务。</w:t>
      </w:r>
    </w:p>
    <w:p>
      <w:pPr>
        <w:pageBreakBefore w:val="0"/>
        <w:kinsoku/>
        <w:wordWrap/>
        <w:overflowPunct/>
        <w:topLinePunct w:val="0"/>
        <w:bidi w:val="0"/>
        <w:snapToGrid w:val="0"/>
        <w:spacing w:line="560" w:lineRule="exact"/>
        <w:ind w:firstLine="643"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r>
        <w:rPr>
          <w:rFonts w:hint="eastAsia" w:ascii="仿宋_GB2312" w:hAnsi="仿宋_GB2312" w:eastAsia="仿宋_GB2312" w:cs="仿宋_GB2312"/>
          <w:color w:val="000000"/>
          <w:kern w:val="0"/>
          <w:sz w:val="32"/>
          <w:szCs w:val="32"/>
          <w:shd w:val="clear" w:color="auto" w:fill="FFFFFF"/>
          <w:lang w:val="zh-CN"/>
        </w:rPr>
        <w:t>广元市档案馆（含下属单位）事业编制数</w:t>
      </w:r>
      <w:r>
        <w:rPr>
          <w:rFonts w:hint="eastAsia" w:ascii="仿宋_GB2312" w:hAnsi="仿宋_GB2312" w:eastAsia="仿宋_GB2312" w:cs="仿宋_GB2312"/>
          <w:color w:val="000000"/>
          <w:kern w:val="0"/>
          <w:sz w:val="32"/>
          <w:szCs w:val="32"/>
          <w:shd w:val="clear" w:color="auto" w:fill="FFFFFF"/>
          <w:lang w:val="en-US" w:eastAsia="zh-CN"/>
        </w:rPr>
        <w:t>32个，其中参照公务员法管理事业人员编制数22个，其他事业编制数8个，工勤编制数2个。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2019年12月31日，</w:t>
      </w:r>
      <w:r>
        <w:rPr>
          <w:rFonts w:hint="eastAsia" w:ascii="仿宋_GB2312" w:hAnsi="仿宋_GB2312" w:eastAsia="仿宋_GB2312" w:cs="仿宋_GB2312"/>
          <w:color w:val="000000"/>
          <w:kern w:val="0"/>
          <w:sz w:val="32"/>
          <w:szCs w:val="32"/>
        </w:rPr>
        <w:t>实</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在职人员</w:t>
      </w:r>
      <w:r>
        <w:rPr>
          <w:rFonts w:hint="eastAsia" w:ascii="仿宋_GB2312" w:hAnsi="仿宋_GB2312" w:eastAsia="仿宋_GB2312" w:cs="仿宋_GB2312"/>
          <w:color w:val="000000"/>
          <w:kern w:val="0"/>
          <w:sz w:val="32"/>
          <w:szCs w:val="32"/>
          <w:lang w:val="en-US" w:eastAsia="zh-CN"/>
        </w:rPr>
        <w:t>27</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其中参公人员18人，事业人员7人，工勤人员2人。</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pageBreakBefore w:val="0"/>
        <w:kinsoku/>
        <w:wordWrap/>
        <w:overflowPunct/>
        <w:topLinePunct w:val="0"/>
        <w:bidi w:val="0"/>
        <w:snapToGrid w:val="0"/>
        <w:spacing w:line="560" w:lineRule="exact"/>
        <w:ind w:firstLine="643"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r>
        <w:rPr>
          <w:rFonts w:hint="eastAsia" w:ascii="仿宋_GB2312" w:hAnsi="仿宋_GB2312" w:eastAsia="仿宋_GB2312" w:cs="仿宋_GB2312"/>
          <w:color w:val="000000"/>
          <w:kern w:val="0"/>
          <w:sz w:val="32"/>
          <w:szCs w:val="32"/>
          <w:lang w:val="en-US" w:eastAsia="zh-CN"/>
        </w:rPr>
        <w:t>2019 年收入总计845.73万元，其中：当年财政拨款收入647.84万元，其他收入 16.37万元，上年结转181.51万元。</w:t>
      </w:r>
    </w:p>
    <w:p>
      <w:pPr>
        <w:pageBreakBefore w:val="0"/>
        <w:kinsoku/>
        <w:wordWrap/>
        <w:overflowPunct/>
        <w:topLinePunct w:val="0"/>
        <w:bidi w:val="0"/>
        <w:snapToGrid w:val="0"/>
        <w:spacing w:line="560" w:lineRule="exact"/>
        <w:ind w:firstLine="643" w:firstLineChars="200"/>
        <w:rPr>
          <w:rFonts w:hint="eastAsia" w:ascii="仿宋_GB2312" w:hAnsi="仿宋_GB2312" w:eastAsia="仿宋_GB2312" w:cs="仿宋_GB2312"/>
          <w:color w:val="000000"/>
          <w:kern w:val="0"/>
          <w:sz w:val="32"/>
          <w:szCs w:val="32"/>
          <w:lang w:val="en-US" w:eastAsia="zh-CN"/>
        </w:rPr>
      </w:pPr>
      <w:r>
        <w:rPr>
          <w:rFonts w:hint="eastAsia" w:ascii="楷体" w:hAnsi="楷体" w:eastAsia="楷体" w:cs="楷体"/>
          <w:b/>
          <w:bCs/>
          <w:color w:val="000000"/>
          <w:kern w:val="0"/>
          <w:sz w:val="32"/>
          <w:szCs w:val="32"/>
          <w:shd w:val="clear" w:color="auto" w:fill="FFFFFF"/>
          <w:lang w:val="zh-CN"/>
        </w:rPr>
        <w:t>（二）部门财政资金支出情况。</w:t>
      </w:r>
      <w:r>
        <w:rPr>
          <w:rFonts w:hint="eastAsia" w:ascii="仿宋_GB2312" w:hAnsi="仿宋_GB2312" w:eastAsia="仿宋_GB2312" w:cs="仿宋_GB2312"/>
          <w:color w:val="000000"/>
          <w:kern w:val="0"/>
          <w:sz w:val="32"/>
          <w:szCs w:val="32"/>
          <w:lang w:val="en-US" w:eastAsia="zh-CN"/>
        </w:rPr>
        <w:t xml:space="preserve">2019 年支出681.03 万元，按支出功能分类：一般公共服务支出 565.02万元，社会保障和就业支出66.04万元，医疗卫生与计划生育支出15.42万元，住房保障支出34.55万元。按支出性质分类：基本支出 527.03万元，项目支出 154 万元。按支出经济分类:工资福利支出 435.39万元，商品和服务支出222.91 万元，对个人和家庭的补助20.83万元，资本性支出1.9 万元。 </w:t>
      </w:r>
    </w:p>
    <w:p>
      <w:pPr>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lang w:val="en-US" w:eastAsia="zh-CN"/>
        </w:rPr>
        <w:t>2019年末结转结余164.70万元。</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（一）部门预算管理</w:t>
      </w:r>
    </w:p>
    <w:p>
      <w:pPr>
        <w:pageBreakBefore w:val="0"/>
        <w:numPr>
          <w:ilvl w:val="0"/>
          <w:numId w:val="0"/>
        </w:numPr>
        <w:kinsoku/>
        <w:wordWrap/>
        <w:overflowPunct/>
        <w:topLinePunct w:val="0"/>
        <w:bidi w:val="0"/>
        <w:spacing w:line="560" w:lineRule="exact"/>
        <w:ind w:left="640"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1.预算编制情况</w:t>
      </w:r>
    </w:p>
    <w:p>
      <w:pPr>
        <w:pageBreakBefore w:val="0"/>
        <w:numPr>
          <w:ilvl w:val="0"/>
          <w:numId w:val="0"/>
        </w:numPr>
        <w:kinsoku/>
        <w:wordWrap/>
        <w:overflowPunct/>
        <w:topLinePunct w:val="0"/>
        <w:bidi w:val="0"/>
        <w:spacing w:line="560" w:lineRule="exact"/>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我馆认真贯彻落实市委、市政府和国家、省档案局、省档</w:t>
      </w:r>
    </w:p>
    <w:p>
      <w:pPr>
        <w:pageBreakBefore w:val="0"/>
        <w:numPr>
          <w:ilvl w:val="0"/>
          <w:numId w:val="0"/>
        </w:numPr>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案馆的部署安排，严格按照相关政策规定编制预算。按照“优先保障、严格标准、综合预算”的要求，根据定员情况和国家、省、市确定的工资、津贴补贴、社会保障等相关政策计算编制人员支出预算；按照“综合预算、定额管理”的要求，根据定员情况、职能职责和事业发展需要综合编制日常公用支出预算；依据市委、市政府确定的经济社会发展规划、部门职能职责及事业发展规划等要求, 严格按照预算绩效管理要求编制项目支出绩效目标，在数量、质量、成本、时效、效益等方面合理细化、量化绩效目标,科学准确编制项目支出预算。</w:t>
      </w:r>
    </w:p>
    <w:p>
      <w:pPr>
        <w:pageBreakBefore w:val="0"/>
        <w:numPr>
          <w:ilvl w:val="0"/>
          <w:numId w:val="0"/>
        </w:numPr>
        <w:kinsoku/>
        <w:wordWrap/>
        <w:overflowPunct/>
        <w:topLinePunct w:val="0"/>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2.预算执行情况 </w:t>
      </w:r>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我馆严格按财政局要求开展本部门预算执行动态监控、 </w:t>
      </w:r>
    </w:p>
    <w:p>
      <w:pPr>
        <w:pageBreakBefore w:val="0"/>
        <w:numPr>
          <w:ilvl w:val="0"/>
          <w:numId w:val="0"/>
        </w:numPr>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中期评估、绩效跟踪监控管理工作，主动开展日常预算执行 </w:t>
      </w:r>
    </w:p>
    <w:p>
      <w:pPr>
        <w:pageBreakBefore w:val="0"/>
        <w:numPr>
          <w:ilvl w:val="0"/>
          <w:numId w:val="0"/>
        </w:numPr>
        <w:kinsoku/>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监控，随时关注各项目执行进程，定期向馆领导汇报预算执行进度，对重大项目实行全程跟踪监控；针对执行进度较慢的项目积极查找原因，督促预算执行。 </w:t>
      </w:r>
    </w:p>
    <w:p>
      <w:pPr>
        <w:pageBreakBefore w:val="0"/>
        <w:numPr>
          <w:ilvl w:val="0"/>
          <w:numId w:val="0"/>
        </w:numPr>
        <w:kinsoku/>
        <w:wordWrap/>
        <w:overflowPunct/>
        <w:topLinePunct w:val="0"/>
        <w:bidi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3.预算完成情况 </w:t>
      </w:r>
    </w:p>
    <w:p>
      <w:pPr>
        <w:pageBreakBefore w:val="0"/>
        <w:numPr>
          <w:ilvl w:val="0"/>
          <w:numId w:val="0"/>
        </w:numPr>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2019年因机构改革，部门职能和人员调整，导致部分项目未启动或启动时间较晚,影响了资金支付进度,我馆 2019年预算执行进度未达到 100%，项目实际完成情况未完全达到预期绩效目标。在工作中，我馆严格按照《预算法》等法律法规进行预算管理，无违规违纪问题。</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（二）结果应用情况。</w:t>
      </w:r>
    </w:p>
    <w:p>
      <w:pPr>
        <w:pageBreakBefore w:val="0"/>
        <w:kinsoku/>
        <w:wordWrap/>
        <w:overflowPunct/>
        <w:topLinePunct w:val="0"/>
        <w:bidi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我馆严格按照市财政局要求，随预算向社会公开部门绩效目标，随决算公开部门整体绩效自评情况，按照绩效评价结果及时指导相关项目的执行方向、进度。</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（一）评价结论</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sz w:val="32"/>
          <w:szCs w:val="32"/>
          <w:lang w:val="en-US" w:eastAsia="zh-CN"/>
        </w:rPr>
        <w:t>2019 年，我馆部门整体支出绩效评价自查自评结果较好，全年基本支出保证了部门的正常运行和日常工作的正常开展，项目支出保障了档案重点业务工作的开展，基本达到预期绩效目标。</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（二）存在问题</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lang w:val="zh-CN"/>
        </w:rPr>
      </w:pPr>
      <w:r>
        <w:rPr>
          <w:rFonts w:hint="eastAsia" w:ascii="仿宋_GB2312" w:hAnsi="仿宋_GB2312" w:eastAsia="仿宋_GB2312" w:cs="仿宋_GB2312"/>
          <w:sz w:val="32"/>
          <w:szCs w:val="32"/>
          <w:lang w:val="en-US" w:eastAsia="zh-CN"/>
        </w:rPr>
        <w:t>预算编制不够准确，绩效目标编制指标设置不够科学，在预算执行过程中，因主客观因素导致预算执行进度缓慢，部分项目预算执行率较低。</w:t>
      </w:r>
    </w:p>
    <w:p>
      <w:pPr>
        <w:pageBreakBefore w:val="0"/>
        <w:widowControl/>
        <w:kinsoku/>
        <w:wordWrap/>
        <w:overflowPunct/>
        <w:topLinePunct w:val="0"/>
        <w:bidi w:val="0"/>
        <w:adjustRightInd w:val="0"/>
        <w:snapToGrid w:val="0"/>
        <w:spacing w:line="56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（三）改进建议</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1.进一步加强业务科室与财务部门的沟通协调，按照全年工作计划，统筹考虑往年结转情况及项目绩效完成情况，科学设定绩效目标指标值，对重大项目进行客观评估，提高预算编制完整性、科学性和准确性。</w:t>
      </w:r>
    </w:p>
    <w:p>
      <w:pPr>
        <w:pageBreakBefore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2.严格预算执行规范化，加强预算执行监控，提高财政资金使用绩效。</w:t>
      </w:r>
    </w:p>
    <w:p>
      <w:pPr>
        <w:pageBreakBefore w:val="0"/>
        <w:kinsoku/>
        <w:wordWrap/>
        <w:overflowPunct/>
        <w:topLinePunct w:val="0"/>
        <w:bidi w:val="0"/>
        <w:spacing w:line="560" w:lineRule="exact"/>
        <w:ind w:firstLine="640" w:firstLineChars="200"/>
        <w:rPr>
          <w:rFonts w:ascii="仿宋_GB2312" w:hAnsi="仿宋_GB2312" w:eastAsia="仿宋_GB2312" w:cs="仿宋_GB2312"/>
          <w:sz w:val="32"/>
          <w:szCs w:val="32"/>
        </w:rPr>
      </w:pPr>
    </w:p>
    <w:p>
      <w:pPr>
        <w:pageBreakBefore w:val="0"/>
        <w:widowControl/>
        <w:kinsoku/>
        <w:wordWrap/>
        <w:overflowPunct/>
        <w:topLinePunct w:val="0"/>
        <w:bidi w:val="0"/>
        <w:spacing w:line="560" w:lineRule="exact"/>
        <w:jc w:val="left"/>
        <w:rPr>
          <w:rStyle w:val="27"/>
          <w:rFonts w:ascii="黑体" w:hAnsi="黑体" w:eastAsia="黑体"/>
          <w:b w:val="0"/>
        </w:rPr>
      </w:pPr>
    </w:p>
    <w:p>
      <w:pPr>
        <w:pageBreakBefore w:val="0"/>
        <w:widowControl/>
        <w:kinsoku/>
        <w:wordWrap/>
        <w:overflowPunct/>
        <w:topLinePunct w:val="0"/>
        <w:bidi w:val="0"/>
        <w:spacing w:line="560" w:lineRule="exact"/>
        <w:jc w:val="left"/>
        <w:rPr>
          <w:rStyle w:val="27"/>
          <w:rFonts w:ascii="黑体" w:hAnsi="黑体" w:eastAsia="黑体"/>
          <w:b w:val="0"/>
        </w:rPr>
      </w:pPr>
      <w:r>
        <w:rPr>
          <w:rStyle w:val="27"/>
          <w:rFonts w:ascii="黑体" w:hAnsi="黑体" w:eastAsia="黑体"/>
          <w:b w:val="0"/>
        </w:rPr>
        <w:br w:type="page"/>
      </w:r>
    </w:p>
    <w:p>
      <w:pPr>
        <w:pageBreakBefore w:val="0"/>
        <w:kinsoku/>
        <w:wordWrap/>
        <w:overflowPunct/>
        <w:topLinePunct w:val="0"/>
        <w:bidi w:val="0"/>
        <w:spacing w:line="560" w:lineRule="exact"/>
        <w:jc w:val="center"/>
        <w:outlineLvl w:val="0"/>
        <w:rPr>
          <w:rStyle w:val="27"/>
          <w:rFonts w:ascii="黑体" w:hAnsi="黑体" w:eastAsia="黑体"/>
          <w:b w:val="0"/>
        </w:rPr>
      </w:pPr>
    </w:p>
    <w:p>
      <w:pPr>
        <w:pageBreakBefore w:val="0"/>
        <w:kinsoku/>
        <w:wordWrap/>
        <w:overflowPunct/>
        <w:topLinePunct w:val="0"/>
        <w:bidi w:val="0"/>
        <w:spacing w:line="560" w:lineRule="exact"/>
        <w:jc w:val="center"/>
        <w:outlineLvl w:val="0"/>
        <w:rPr>
          <w:rStyle w:val="27"/>
          <w:rFonts w:ascii="黑体" w:hAnsi="黑体" w:eastAsia="黑体"/>
          <w:b/>
          <w:bCs/>
        </w:rPr>
      </w:pPr>
      <w:bookmarkStart w:id="91" w:name="_Toc15396618"/>
      <w:bookmarkStart w:id="92" w:name="_Toc17147"/>
      <w:r>
        <w:rPr>
          <w:rFonts w:hint="eastAsia" w:ascii="黑体" w:hAnsi="黑体" w:eastAsia="黑体"/>
          <w:b/>
          <w:bCs/>
          <w:color w:val="000000"/>
          <w:sz w:val="44"/>
          <w:szCs w:val="44"/>
        </w:rPr>
        <w:t>第</w:t>
      </w:r>
      <w:r>
        <w:rPr>
          <w:rStyle w:val="27"/>
          <w:rFonts w:hint="eastAsia" w:ascii="黑体" w:hAnsi="黑体" w:eastAsia="黑体"/>
          <w:b/>
          <w:bCs/>
        </w:rPr>
        <w:t>五部分 附表</w:t>
      </w:r>
      <w:bookmarkEnd w:id="88"/>
      <w:bookmarkEnd w:id="91"/>
      <w:bookmarkEnd w:id="92"/>
    </w:p>
    <w:p>
      <w:pPr>
        <w:pageBreakBefore w:val="0"/>
        <w:kinsoku/>
        <w:wordWrap/>
        <w:overflowPunct/>
        <w:topLinePunct w:val="0"/>
        <w:bidi w:val="0"/>
        <w:spacing w:line="560" w:lineRule="exact"/>
        <w:jc w:val="center"/>
        <w:outlineLvl w:val="0"/>
        <w:rPr>
          <w:rFonts w:ascii="仿宋" w:hAnsi="仿宋" w:eastAsia="仿宋"/>
          <w:b/>
          <w:color w:val="000000"/>
          <w:sz w:val="44"/>
          <w:szCs w:val="44"/>
        </w:rPr>
      </w:pPr>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93" w:name="_Toc15396619"/>
      <w:bookmarkStart w:id="94" w:name="_Toc26505"/>
      <w:r>
        <w:rPr>
          <w:rFonts w:hint="eastAsia" w:ascii="仿宋_GB2312" w:hAnsi="仿宋_GB2312" w:eastAsia="仿宋_GB2312" w:cs="仿宋_GB2312"/>
          <w:b w:val="0"/>
          <w:color w:val="000000"/>
        </w:rPr>
        <w:t>一、收</w:t>
      </w:r>
      <w:r>
        <w:rPr>
          <w:rStyle w:val="28"/>
          <w:rFonts w:hint="eastAsia" w:ascii="仿宋_GB2312" w:hAnsi="仿宋_GB2312" w:eastAsia="仿宋_GB2312" w:cs="仿宋_GB2312"/>
          <w:b w:val="0"/>
          <w:bCs w:val="0"/>
        </w:rPr>
        <w:t>入支出决算总表</w:t>
      </w:r>
      <w:bookmarkEnd w:id="93"/>
      <w:bookmarkEnd w:id="94"/>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95" w:name="_Toc640"/>
      <w:bookmarkStart w:id="96" w:name="_Toc15396620"/>
      <w:r>
        <w:rPr>
          <w:rFonts w:hint="eastAsia" w:ascii="仿宋_GB2312" w:hAnsi="仿宋_GB2312" w:eastAsia="仿宋_GB2312" w:cs="仿宋_GB2312"/>
          <w:b w:val="0"/>
          <w:color w:val="000000"/>
        </w:rPr>
        <w:t>二、收</w:t>
      </w:r>
      <w:r>
        <w:rPr>
          <w:rStyle w:val="28"/>
          <w:rFonts w:hint="eastAsia" w:ascii="仿宋_GB2312" w:hAnsi="仿宋_GB2312" w:eastAsia="仿宋_GB2312" w:cs="仿宋_GB2312"/>
          <w:b w:val="0"/>
          <w:bCs w:val="0"/>
        </w:rPr>
        <w:t>入决算表</w:t>
      </w:r>
      <w:bookmarkEnd w:id="95"/>
      <w:bookmarkEnd w:id="96"/>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97" w:name="_Toc15396621"/>
      <w:bookmarkStart w:id="98" w:name="_Toc21480"/>
      <w:r>
        <w:rPr>
          <w:rStyle w:val="2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8"/>
          <w:rFonts w:hint="eastAsia" w:ascii="仿宋_GB2312" w:hAnsi="仿宋_GB2312" w:eastAsia="仿宋_GB2312" w:cs="仿宋_GB2312"/>
          <w:b w:val="0"/>
          <w:bCs w:val="0"/>
        </w:rPr>
        <w:t>出决算表</w:t>
      </w:r>
      <w:bookmarkEnd w:id="97"/>
      <w:bookmarkEnd w:id="98"/>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color w:val="000000"/>
        </w:rPr>
      </w:pPr>
      <w:bookmarkStart w:id="99" w:name="_Toc1082"/>
      <w:bookmarkStart w:id="100" w:name="_Toc15396622"/>
      <w:r>
        <w:rPr>
          <w:rStyle w:val="2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政拨款收入支出决算总表</w:t>
      </w:r>
      <w:bookmarkEnd w:id="99"/>
      <w:bookmarkEnd w:id="100"/>
    </w:p>
    <w:p>
      <w:pPr>
        <w:pStyle w:val="5"/>
        <w:keepNext/>
        <w:keepLines/>
        <w:pageBreakBefore w:val="0"/>
        <w:widowControl w:val="0"/>
        <w:kinsoku/>
        <w:wordWrap/>
        <w:overflowPunct/>
        <w:topLinePunct w:val="0"/>
        <w:autoSpaceDE/>
        <w:autoSpaceDN/>
        <w:bidi w:val="0"/>
        <w:adjustRightInd/>
        <w:snapToGrid/>
        <w:spacing w:line="440" w:lineRule="exact"/>
        <w:textAlignment w:val="auto"/>
        <w:rPr>
          <w:rStyle w:val="28"/>
          <w:rFonts w:hint="eastAsia" w:ascii="仿宋_GB2312" w:hAnsi="仿宋_GB2312" w:eastAsia="仿宋_GB2312" w:cs="仿宋_GB2312"/>
          <w:b w:val="0"/>
          <w:bCs w:val="0"/>
        </w:rPr>
      </w:pPr>
      <w:bookmarkStart w:id="101" w:name="_Toc9041"/>
      <w:bookmarkStart w:id="102" w:name="_Toc15396623"/>
      <w:r>
        <w:rPr>
          <w:rStyle w:val="2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政拨款支出决算明细表</w:t>
      </w:r>
      <w:bookmarkEnd w:id="101"/>
      <w:bookmarkEnd w:id="102"/>
      <w:bookmarkStart w:id="103" w:name="_Toc15396624"/>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04" w:name="_Toc7383"/>
      <w:r>
        <w:rPr>
          <w:rStyle w:val="2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般公共预算财政拨款支出决算表</w:t>
      </w:r>
      <w:bookmarkEnd w:id="103"/>
      <w:bookmarkEnd w:id="104"/>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05" w:name="_Toc15396625"/>
      <w:bookmarkStart w:id="106" w:name="_Toc14104"/>
      <w:r>
        <w:rPr>
          <w:rStyle w:val="2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般公共预算财政拨款支出决算明细表</w:t>
      </w:r>
      <w:bookmarkEnd w:id="105"/>
      <w:bookmarkEnd w:id="106"/>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07" w:name="_Toc15396626"/>
      <w:bookmarkStart w:id="108" w:name="_Toc29254"/>
      <w:r>
        <w:rPr>
          <w:rStyle w:val="2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般公共预算财政拨款基本支出决算表</w:t>
      </w:r>
      <w:bookmarkEnd w:id="107"/>
      <w:bookmarkEnd w:id="108"/>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09" w:name="_Toc15396627"/>
      <w:bookmarkStart w:id="110" w:name="_Toc1944"/>
      <w:r>
        <w:rPr>
          <w:rStyle w:val="2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般公共预算财政拨款项目支出决算表</w:t>
      </w:r>
      <w:bookmarkEnd w:id="109"/>
      <w:bookmarkEnd w:id="110"/>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11" w:name="_Toc15396628"/>
      <w:bookmarkStart w:id="112" w:name="_Toc1281"/>
      <w:r>
        <w:rPr>
          <w:rStyle w:val="2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般公共预算财政拨款“三公”经费支出决算表</w:t>
      </w:r>
      <w:bookmarkEnd w:id="111"/>
      <w:bookmarkEnd w:id="112"/>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13" w:name="_Toc15396629"/>
      <w:bookmarkStart w:id="114" w:name="_Toc24287"/>
      <w:r>
        <w:rPr>
          <w:rStyle w:val="2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府性基金预算财政拨款收入支出决算表</w:t>
      </w:r>
      <w:bookmarkEnd w:id="113"/>
      <w:bookmarkEnd w:id="114"/>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000000"/>
        </w:rPr>
      </w:pPr>
      <w:bookmarkStart w:id="115" w:name="_Toc15396630"/>
      <w:bookmarkStart w:id="116" w:name="_Toc31847"/>
      <w:r>
        <w:rPr>
          <w:rStyle w:val="2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府性基金预算财政拨款“三公”经费支出决算表</w:t>
      </w:r>
      <w:bookmarkEnd w:id="115"/>
      <w:bookmarkEnd w:id="116"/>
    </w:p>
    <w:p>
      <w:pPr>
        <w:pStyle w:val="5"/>
        <w:keepNext/>
        <w:keepLines/>
        <w:pageBreakBefore w:val="0"/>
        <w:widowControl w:val="0"/>
        <w:kinsoku/>
        <w:wordWrap/>
        <w:overflowPunct/>
        <w:topLinePunct w:val="0"/>
        <w:autoSpaceDE/>
        <w:autoSpaceDN/>
        <w:bidi w:val="0"/>
        <w:adjustRightInd/>
        <w:snapToGrid/>
        <w:spacing w:line="440" w:lineRule="exact"/>
        <w:textAlignment w:val="auto"/>
        <w:rPr>
          <w:rFonts w:hint="eastAsia"/>
        </w:rPr>
        <w:sectPr>
          <w:headerReference r:id="rId3" w:type="default"/>
          <w:footerReference r:id="rId4" w:type="default"/>
          <w:pgSz w:w="11906" w:h="16838"/>
          <w:pgMar w:top="1440" w:right="1587" w:bottom="1440" w:left="1587" w:header="851" w:footer="992" w:gutter="0"/>
          <w:pgNumType w:start="1"/>
          <w:cols w:space="425" w:num="1"/>
          <w:titlePg/>
          <w:docGrid w:type="lines" w:linePitch="312" w:charSpace="0"/>
        </w:sectPr>
      </w:pPr>
      <w:bookmarkStart w:id="117" w:name="_Toc15396631"/>
      <w:bookmarkStart w:id="118" w:name="_Toc32276"/>
      <w:r>
        <w:rPr>
          <w:rStyle w:val="2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8"/>
          <w:rFonts w:hint="eastAsia" w:ascii="仿宋_GB2312" w:hAnsi="仿宋_GB2312" w:eastAsia="仿宋_GB2312" w:cs="仿宋_GB2312"/>
          <w:b w:val="0"/>
          <w:bCs w:val="0"/>
        </w:rPr>
        <w:t>有资本经营预算支出决算</w:t>
      </w:r>
      <w:bookmarkEnd w:id="117"/>
      <w:bookmarkEnd w:id="118"/>
    </w:p>
    <w:p>
      <w:pPr>
        <w:pStyle w:val="2"/>
        <w:ind w:left="0" w:leftChars="0" w:firstLine="0" w:firstLineChars="0"/>
        <w:rPr>
          <w:rFonts w:hint="eastAsia"/>
          <w:lang w:eastAsia="zh-CN"/>
        </w:rPr>
      </w:pPr>
    </w:p>
    <w:sectPr>
      <w:pgSz w:w="16838" w:h="11906" w:orient="landscape"/>
      <w:pgMar w:top="1587" w:right="1440" w:bottom="1587"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9FA39-A36F-4A56-BA50-27B724E44A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95CC08D-530A-488D-9E9D-C8133BAFC9E3}"/>
  </w:font>
  <w:font w:name="仿宋">
    <w:panose1 w:val="02010609060101010101"/>
    <w:charset w:val="86"/>
    <w:family w:val="modern"/>
    <w:pitch w:val="default"/>
    <w:sig w:usb0="800002BF" w:usb1="38CF7CFA" w:usb2="00000016" w:usb3="00000000" w:csb0="00040001" w:csb1="00000000"/>
    <w:embedRegular r:id="rId3" w:fontKey="{05444E63-89B1-445C-8DE0-51018502204B}"/>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embedRegular r:id="rId4" w:fontKey="{7E4AD65D-A4D4-4DFC-B6EC-E63AB9BE875A}"/>
  </w:font>
  <w:font w:name="楷体">
    <w:panose1 w:val="02010609060101010101"/>
    <w:charset w:val="86"/>
    <w:family w:val="auto"/>
    <w:pitch w:val="default"/>
    <w:sig w:usb0="800002BF" w:usb1="38CF7CFA" w:usb2="00000016" w:usb3="00000000" w:csb0="00040001" w:csb1="00000000"/>
    <w:embedRegular r:id="rId5" w:fontKey="{2632ABC4-D989-45F5-87BF-6185DB7320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D114F"/>
    <w:multiLevelType w:val="singleLevel"/>
    <w:tmpl w:val="AA5D114F"/>
    <w:lvl w:ilvl="0" w:tentative="0">
      <w:start w:val="1"/>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44340F3"/>
    <w:multiLevelType w:val="singleLevel"/>
    <w:tmpl w:val="544340F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633F57"/>
    <w:rsid w:val="069603EC"/>
    <w:rsid w:val="088F1A87"/>
    <w:rsid w:val="08EA6693"/>
    <w:rsid w:val="0BBB50A2"/>
    <w:rsid w:val="0EAC2A84"/>
    <w:rsid w:val="10C055FF"/>
    <w:rsid w:val="14FB19F9"/>
    <w:rsid w:val="14FF7D2F"/>
    <w:rsid w:val="15C93A55"/>
    <w:rsid w:val="16BB723D"/>
    <w:rsid w:val="240371BF"/>
    <w:rsid w:val="29FD04D3"/>
    <w:rsid w:val="2B416918"/>
    <w:rsid w:val="2F0C692E"/>
    <w:rsid w:val="2F3E47A2"/>
    <w:rsid w:val="319F7F4E"/>
    <w:rsid w:val="338831B2"/>
    <w:rsid w:val="38D36B2E"/>
    <w:rsid w:val="395628C0"/>
    <w:rsid w:val="39817AD6"/>
    <w:rsid w:val="3C53140B"/>
    <w:rsid w:val="3C6B5B34"/>
    <w:rsid w:val="423E2D13"/>
    <w:rsid w:val="45D529C5"/>
    <w:rsid w:val="4E1F1FDC"/>
    <w:rsid w:val="4ECE2238"/>
    <w:rsid w:val="53CF5233"/>
    <w:rsid w:val="581B5C1C"/>
    <w:rsid w:val="5F37670F"/>
    <w:rsid w:val="66E13F33"/>
    <w:rsid w:val="6E766648"/>
    <w:rsid w:val="703250A3"/>
    <w:rsid w:val="72734D90"/>
    <w:rsid w:val="727A6325"/>
    <w:rsid w:val="75A30804"/>
    <w:rsid w:val="75B813E5"/>
    <w:rsid w:val="7AB848C8"/>
    <w:rsid w:val="7D454ED4"/>
    <w:rsid w:val="7F3831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630"/>
      <w:jc w:val="left"/>
    </w:pPr>
    <w:rPr>
      <w:rFonts w:eastAsia="黑体"/>
      <w:sz w:val="32"/>
      <w:szCs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rFonts w:ascii="Calibri" w:hAnsi="Calibri"/>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font01"/>
    <w:basedOn w:val="16"/>
    <w:qFormat/>
    <w:uiPriority w:val="0"/>
    <w:rPr>
      <w:rFonts w:hint="eastAsia" w:ascii="宋体" w:hAnsi="宋体" w:eastAsia="宋体" w:cs="宋体"/>
      <w:color w:val="000000"/>
      <w:sz w:val="24"/>
      <w:szCs w:val="24"/>
      <w:u w:val="none"/>
    </w:rPr>
  </w:style>
  <w:style w:type="character" w:customStyle="1" w:styleId="34">
    <w:name w:val="font21"/>
    <w:basedOn w:val="16"/>
    <w:qFormat/>
    <w:uiPriority w:val="0"/>
    <w:rPr>
      <w:rFonts w:hint="eastAsia" w:ascii="微软雅黑" w:hAnsi="微软雅黑" w:eastAsia="微软雅黑" w:cs="微软雅黑"/>
      <w:color w:val="000000"/>
      <w:sz w:val="24"/>
      <w:szCs w:val="24"/>
      <w:u w:val="none"/>
    </w:rPr>
  </w:style>
  <w:style w:type="character" w:customStyle="1" w:styleId="35">
    <w:name w:val="font11"/>
    <w:basedOn w:val="16"/>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150" baseline="0">
                <a:solidFill>
                  <a:sysClr val="windowText" lastClr="000000"/>
                </a:solidFill>
                <a:latin typeface="+mn-lt"/>
                <a:ea typeface="+mn-ea"/>
                <a:cs typeface="+mn-cs"/>
              </a:defRPr>
            </a:pPr>
            <a:r>
              <a:rPr sz="1400" b="1">
                <a:solidFill>
                  <a:sysClr val="windowText" lastClr="000000"/>
                </a:solidFill>
                <a:latin typeface="仿宋_GB2312" panose="02010609030101010101" pitchFamily="3" charset="-122"/>
                <a:ea typeface="仿宋_GB2312" panose="02010609030101010101" pitchFamily="3" charset="-122"/>
              </a:rPr>
              <a:t>图</a:t>
            </a:r>
            <a:r>
              <a:rPr lang="en-US" altLang="zh-CN" sz="1400" b="1">
                <a:solidFill>
                  <a:sysClr val="windowText" lastClr="000000"/>
                </a:solidFill>
                <a:latin typeface="仿宋_GB2312" panose="02010609030101010101" pitchFamily="3" charset="-122"/>
                <a:ea typeface="仿宋_GB2312" panose="02010609030101010101" pitchFamily="3" charset="-122"/>
              </a:rPr>
              <a:t>1</a:t>
            </a:r>
            <a:r>
              <a:rPr altLang="en-US" sz="1400" b="1">
                <a:solidFill>
                  <a:sysClr val="windowText" lastClr="000000"/>
                </a:solidFill>
                <a:latin typeface="仿宋_GB2312" panose="02010609030101010101" pitchFamily="3" charset="-122"/>
                <a:ea typeface="仿宋_GB2312" panose="02010609030101010101" pitchFamily="3" charset="-122"/>
              </a:rPr>
              <a:t>：</a:t>
            </a:r>
            <a:r>
              <a:rPr sz="1400" b="1">
                <a:solidFill>
                  <a:sysClr val="windowText" lastClr="000000"/>
                </a:solidFill>
                <a:latin typeface="仿宋_GB2312" panose="02010609030101010101" pitchFamily="3" charset="-122"/>
                <a:ea typeface="仿宋_GB2312" panose="02010609030101010101" pitchFamily="3" charset="-122"/>
              </a:rPr>
              <a:t>收、支决算总计变动情况图</a:t>
            </a:r>
            <a:endParaRPr sz="1400" b="1">
              <a:solidFill>
                <a:sysClr val="windowText" lastClr="000000"/>
              </a:solidFill>
              <a:latin typeface="仿宋_GB2312" panose="02010609030101010101" pitchFamily="3" charset="-122"/>
              <a:ea typeface="仿宋_GB2312" panose="02010609030101010101" pitchFamily="3" charset="-122"/>
            </a:endParaRPr>
          </a:p>
        </c:rich>
      </c:tx>
      <c:layout>
        <c:manualLayout>
          <c:xMode val="edge"/>
          <c:yMode val="edge"/>
          <c:x val="0.215694444444445"/>
          <c:y val="0.00694444444444444"/>
        </c:manualLayout>
      </c:layout>
      <c:overlay val="0"/>
      <c:spPr>
        <a:noFill/>
        <a:ln>
          <a:noFill/>
        </a:ln>
        <a:effectLst/>
      </c:spPr>
    </c:title>
    <c:autoTitleDeleted val="0"/>
    <c:plotArea>
      <c:layout>
        <c:manualLayout>
          <c:layoutTarget val="inner"/>
          <c:xMode val="edge"/>
          <c:yMode val="edge"/>
          <c:x val="0.0786944444444444"/>
          <c:y val="0.17962962962963"/>
          <c:w val="0.894638888888889"/>
          <c:h val="0.71212962962963"/>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2018年</c:v>
                </c:pt>
                <c:pt idx="1">
                  <c:v>2019年</c:v>
                </c:pt>
                <c:pt idx="2">
                  <c:v>单位：万元</c:v>
                </c:pt>
              </c:strCache>
            </c:strRef>
          </c:cat>
          <c:val>
            <c:numRef>
              <c:f>[工作簿1]Sheet1!$B$2:$B$4</c:f>
              <c:numCache>
                <c:formatCode>General</c:formatCode>
                <c:ptCount val="3"/>
                <c:pt idx="0">
                  <c:v>872.92</c:v>
                </c:pt>
                <c:pt idx="1">
                  <c:v>845.73</c:v>
                </c:pt>
              </c:numCache>
            </c:numRef>
          </c:val>
        </c:ser>
        <c:dLbls>
          <c:showLegendKey val="0"/>
          <c:showVal val="1"/>
          <c:showCatName val="0"/>
          <c:showSerName val="0"/>
          <c:showPercent val="0"/>
          <c:showBubbleSize val="0"/>
        </c:dLbls>
        <c:gapWidth val="164"/>
        <c:overlap val="-22"/>
        <c:axId val="602685512"/>
        <c:axId val="502224128"/>
      </c:barChart>
      <c:catAx>
        <c:axId val="602685512"/>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2224128"/>
        <c:crosses val="autoZero"/>
        <c:auto val="1"/>
        <c:lblAlgn val="ctr"/>
        <c:lblOffset val="100"/>
        <c:noMultiLvlLbl val="0"/>
      </c:catAx>
      <c:valAx>
        <c:axId val="50222412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2685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150" baseline="0">
                <a:solidFill>
                  <a:sysClr val="windowText" lastClr="000000"/>
                </a:solidFill>
                <a:latin typeface="+mn-lt"/>
                <a:ea typeface="+mn-ea"/>
                <a:cs typeface="+mn-cs"/>
              </a:defRPr>
            </a:pPr>
            <a:r>
              <a:rPr sz="1400">
                <a:solidFill>
                  <a:sysClr val="windowText" lastClr="000000"/>
                </a:solidFill>
                <a:latin typeface="仿宋_GB2312" panose="02010609030101010101" pitchFamily="3" charset="-122"/>
                <a:ea typeface="仿宋_GB2312" panose="02010609030101010101" pitchFamily="3" charset="-122"/>
              </a:rPr>
              <a:t>图</a:t>
            </a:r>
            <a:r>
              <a:rPr lang="en-US" altLang="zh-CN" sz="1400">
                <a:solidFill>
                  <a:sysClr val="windowText" lastClr="000000"/>
                </a:solidFill>
                <a:latin typeface="仿宋_GB2312" panose="02010609030101010101" pitchFamily="3" charset="-122"/>
                <a:ea typeface="仿宋_GB2312" panose="02010609030101010101" pitchFamily="3" charset="-122"/>
              </a:rPr>
              <a:t>2</a:t>
            </a:r>
            <a:r>
              <a:rPr altLang="en-US" sz="1400">
                <a:solidFill>
                  <a:sysClr val="windowText" lastClr="000000"/>
                </a:solidFill>
                <a:latin typeface="仿宋_GB2312" panose="02010609030101010101" pitchFamily="3" charset="-122"/>
                <a:ea typeface="仿宋_GB2312" panose="02010609030101010101" pitchFamily="3" charset="-122"/>
              </a:rPr>
              <a:t>：</a:t>
            </a:r>
            <a:r>
              <a:rPr sz="1400">
                <a:solidFill>
                  <a:sysClr val="windowText" lastClr="000000"/>
                </a:solidFill>
                <a:latin typeface="仿宋_GB2312" panose="02010609030101010101" pitchFamily="3" charset="-122"/>
                <a:ea typeface="仿宋_GB2312" panose="02010609030101010101" pitchFamily="3" charset="-122"/>
              </a:rPr>
              <a:t>收入决算结构图</a:t>
            </a:r>
            <a:endParaRPr sz="1400">
              <a:solidFill>
                <a:sysClr val="windowText" lastClr="000000"/>
              </a:solidFill>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pieChart>
        <c:varyColors val="1"/>
        <c:ser>
          <c:idx val="0"/>
          <c:order val="0"/>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一般公共预算财政拨款收入</c:v>
                </c:pt>
                <c:pt idx="1">
                  <c:v>其他收入</c:v>
                </c:pt>
                <c:pt idx="2">
                  <c:v>单位：万元</c:v>
                </c:pt>
              </c:strCache>
            </c:strRef>
          </c:cat>
          <c:val>
            <c:numRef>
              <c:f>[工作簿1]Sheet1!$B$2:$B$4</c:f>
              <c:numCache>
                <c:formatCode>General</c:formatCode>
                <c:ptCount val="3"/>
                <c:pt idx="0">
                  <c:v>647.84</c:v>
                </c:pt>
                <c:pt idx="1">
                  <c:v>16.37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15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sz="14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图</a:t>
            </a:r>
            <a:r>
              <a:rPr lang="en-US" altLang="zh-CN" sz="14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3</a:t>
            </a:r>
            <a:r>
              <a:rPr altLang="en-US" sz="14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a:t>
            </a:r>
            <a:r>
              <a:rPr sz="14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支出决算结构图</a:t>
            </a:r>
            <a:endParaRPr sz="1400" b="1">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pieChart>
        <c:varyColors val="1"/>
        <c:ser>
          <c:idx val="0"/>
          <c:order val="0"/>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基本支出</c:v>
                </c:pt>
                <c:pt idx="1">
                  <c:v>项目支出</c:v>
                </c:pt>
                <c:pt idx="2">
                  <c:v>单位：万元</c:v>
                </c:pt>
              </c:strCache>
            </c:strRef>
          </c:cat>
          <c:val>
            <c:numRef>
              <c:f>[工作簿1]Sheet1!$B$2:$B$4</c:f>
              <c:numCache>
                <c:formatCode>General</c:formatCode>
                <c:ptCount val="3"/>
                <c:pt idx="0">
                  <c:v>527.03</c:v>
                </c:pt>
                <c:pt idx="1">
                  <c:v>154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150" baseline="0">
                <a:solidFill>
                  <a:sysClr val="windowText" lastClr="000000"/>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solidFill>
                  <a:sysClr val="windowText" lastClr="000000"/>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图</a:t>
            </a:r>
            <a:r>
              <a:rPr lang="en-US" altLang="zh-CN" sz="1400">
                <a:solidFill>
                  <a:sysClr val="windowText" lastClr="000000"/>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4</a:t>
            </a:r>
            <a:r>
              <a:rPr altLang="en-US" sz="1400">
                <a:solidFill>
                  <a:sysClr val="windowText" lastClr="000000"/>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：财政拨款收、支决算总计变动情况</a:t>
            </a:r>
            <a:endParaRPr altLang="en-US" sz="1400">
              <a:solidFill>
                <a:sysClr val="windowText" lastClr="000000"/>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123611111111111"/>
          <c:y val="0.0243055555555556"/>
        </c:manualLayout>
      </c:layout>
      <c:overlay val="0"/>
      <c:spPr>
        <a:noFill/>
        <a:ln>
          <a:noFill/>
        </a:ln>
        <a:effectLst/>
      </c:spPr>
    </c:title>
    <c:autoTitleDeleted val="0"/>
    <c:plotArea>
      <c:layout>
        <c:manualLayout>
          <c:layoutTarget val="inner"/>
          <c:xMode val="edge"/>
          <c:yMode val="edge"/>
          <c:x val="0.0748055555555556"/>
          <c:y val="0.275231481481481"/>
          <c:w val="0.894638888888889"/>
          <c:h val="0.588981481481482"/>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
                  <c:y val="-0.308564814814815"/>
                </c:manualLayout>
              </c:layout>
              <c:dLblPos val="ctr"/>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94444444444444"/>
                  <c:y val="-0.134953703703704"/>
                </c:manualLayout>
              </c:layout>
              <c:dLblPos val="ctr"/>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2018年</c:v>
                </c:pt>
                <c:pt idx="1">
                  <c:v>2019年</c:v>
                </c:pt>
                <c:pt idx="2">
                  <c:v>单位：万元</c:v>
                </c:pt>
              </c:strCache>
            </c:strRef>
          </c:cat>
          <c:val>
            <c:numRef>
              <c:f>[工作簿1]Sheet1!$B$2:$B$4</c:f>
              <c:numCache>
                <c:formatCode>General</c:formatCode>
                <c:ptCount val="3"/>
                <c:pt idx="0">
                  <c:v>833.67</c:v>
                </c:pt>
                <c:pt idx="1">
                  <c:v>805.84</c:v>
                </c:pt>
              </c:numCache>
            </c:numRef>
          </c:val>
        </c:ser>
        <c:dLbls>
          <c:showLegendKey val="0"/>
          <c:showVal val="1"/>
          <c:showCatName val="0"/>
          <c:showSerName val="0"/>
          <c:showPercent val="1"/>
          <c:showBubbleSize val="0"/>
        </c:dLbls>
        <c:gapWidth val="164"/>
        <c:overlap val="-22"/>
        <c:axId val="669542658"/>
        <c:axId val="200471647"/>
      </c:barChart>
      <c:catAx>
        <c:axId val="669542658"/>
        <c:scaling>
          <c:orientation val="minMax"/>
        </c:scaling>
        <c:delete val="0"/>
        <c:axPos val="b"/>
        <c:majorTickMark val="out"/>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471647"/>
        <c:crosses val="autoZero"/>
        <c:auto val="1"/>
        <c:lblAlgn val="ctr"/>
        <c:lblOffset val="100"/>
        <c:noMultiLvlLbl val="0"/>
      </c:catAx>
      <c:valAx>
        <c:axId val="200471647"/>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5426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图</a:t>
            </a:r>
            <a:r>
              <a:rPr lang="en-US" altLang="zh-CN"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5</a:t>
            </a:r>
            <a:r>
              <a:rPr altLang="en-US"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：一般公共预算财政拨款支出决算变动情况 </a:t>
            </a:r>
            <a:endParaRPr altLang="en-US"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0962173596303528"/>
          <c:y val="0.0337405399561363"/>
        </c:manualLayout>
      </c:layout>
      <c:overlay val="0"/>
      <c:spPr>
        <a:noFill/>
        <a:ln>
          <a:noFill/>
        </a:ln>
        <a:effectLst/>
      </c:spPr>
    </c:title>
    <c:autoTitleDeleted val="0"/>
    <c:plotArea>
      <c:layout>
        <c:manualLayout>
          <c:layoutTarget val="inner"/>
          <c:xMode val="edge"/>
          <c:yMode val="edge"/>
          <c:x val="0.0748055555555556"/>
          <c:y val="0.275231481481481"/>
          <c:w val="0.894638888888889"/>
          <c:h val="0.588981481481482"/>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00230083405234397"/>
                  <c:y val="-0.31406598858844"/>
                </c:manualLayout>
              </c:layout>
              <c:dLblPos val="ctr"/>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
                  <c:y val="-0.157281071694369"/>
                </c:manualLayout>
              </c:layout>
              <c:dLblPos val="ctr"/>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[工作簿1]Sheet1!$A$2:$A$4</c:f>
              <c:strCache>
                <c:ptCount val="3"/>
                <c:pt idx="0">
                  <c:v>2018年</c:v>
                </c:pt>
                <c:pt idx="1">
                  <c:v>2019年</c:v>
                </c:pt>
                <c:pt idx="2">
                  <c:v>单位：万元</c:v>
                </c:pt>
              </c:strCache>
            </c:strRef>
          </c:cat>
          <c:val>
            <c:numRef>
              <c:f>[工作簿1]Sheet1!$B$2:$B$4</c:f>
              <c:numCache>
                <c:formatCode>General</c:formatCode>
                <c:ptCount val="3"/>
                <c:pt idx="0">
                  <c:v>681.42</c:v>
                </c:pt>
                <c:pt idx="1">
                  <c:v>669.29</c:v>
                </c:pt>
              </c:numCache>
            </c:numRef>
          </c:val>
        </c:ser>
        <c:dLbls>
          <c:showLegendKey val="0"/>
          <c:showVal val="1"/>
          <c:showCatName val="0"/>
          <c:showSerName val="0"/>
          <c:showPercent val="1"/>
          <c:showBubbleSize val="0"/>
        </c:dLbls>
        <c:gapWidth val="164"/>
        <c:overlap val="-22"/>
        <c:axId val="669542658"/>
        <c:axId val="200471647"/>
      </c:barChart>
      <c:catAx>
        <c:axId val="669542658"/>
        <c:scaling>
          <c:orientation val="minMax"/>
        </c:scaling>
        <c:delete val="0"/>
        <c:axPos val="b"/>
        <c:majorTickMark val="out"/>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471647"/>
        <c:crosses val="autoZero"/>
        <c:auto val="1"/>
        <c:lblAlgn val="ctr"/>
        <c:lblOffset val="100"/>
        <c:noMultiLvlLbl val="0"/>
      </c:catAx>
      <c:valAx>
        <c:axId val="200471647"/>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5426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rPr>
              <a:t>图6：一般公共预算财政拨款支出决算结构</a:t>
            </a:r>
            <a:endParaRPr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endParaRPr>
          </a:p>
        </c:rich>
      </c:tx>
      <c:layout>
        <c:manualLayout>
          <c:xMode val="edge"/>
          <c:yMode val="edge"/>
          <c:x val="0.130368470929262"/>
          <c:y val="0.0150061031615636"/>
        </c:manualLayout>
      </c:layout>
      <c:overlay val="0"/>
      <c:spPr>
        <a:noFill/>
        <a:ln>
          <a:noFill/>
        </a:ln>
        <a:effectLst/>
      </c:spPr>
    </c:title>
    <c:autoTitleDeleted val="0"/>
    <c:plotArea>
      <c:layout/>
      <c:pieChart>
        <c:varyColors val="1"/>
        <c:ser>
          <c:idx val="0"/>
          <c:order val="0"/>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[工作簿1]Sheet1!$A$2:$A$5</c:f>
              <c:strCache>
                <c:ptCount val="4"/>
                <c:pt idx="0">
                  <c:v>一般公共服务（类）支出</c:v>
                </c:pt>
                <c:pt idx="1">
                  <c:v>社会保障和就业（类）支出</c:v>
                </c:pt>
                <c:pt idx="2">
                  <c:v>卫生健康（类）支出</c:v>
                </c:pt>
                <c:pt idx="3">
                  <c:v>住房保障（类）支出</c:v>
                </c:pt>
              </c:strCache>
            </c:strRef>
          </c:cat>
          <c:val>
            <c:numRef>
              <c:f>[工作簿1]Sheet1!$B$2:$B$5</c:f>
              <c:numCache>
                <c:formatCode>General</c:formatCode>
                <c:ptCount val="4"/>
                <c:pt idx="0">
                  <c:v>553.29</c:v>
                </c:pt>
                <c:pt idx="1">
                  <c:v>66.04</c:v>
                </c:pt>
                <c:pt idx="2">
                  <c:v>15.42</c:v>
                </c:pt>
                <c:pt idx="3">
                  <c:v>34.55</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cap="all" spc="150" baseline="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图7：”三公“财政拨款支出结构</a:t>
            </a:r>
            <a:endParaRPr sz="1400">
              <a:solidFill>
                <a:sysClr val="windowText" lastClr="000000"/>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0"/>
      <c:spPr>
        <a:noFill/>
        <a:ln>
          <a:noFill/>
        </a:ln>
        <a:effectLst/>
      </c:spPr>
    </c:title>
    <c:autoTitleDeleted val="0"/>
    <c:plotArea>
      <c:layout/>
      <c:pieChart>
        <c:varyColors val="1"/>
        <c:ser>
          <c:idx val="0"/>
          <c:order val="0"/>
          <c:spPr/>
          <c:explosion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[工作簿1]Sheet1!$A$2:$A$3</c:f>
              <c:strCache>
                <c:ptCount val="2"/>
                <c:pt idx="0">
                  <c:v>公务接待费</c:v>
                </c:pt>
                <c:pt idx="1">
                  <c:v>公务用车购置及运行维护费</c:v>
                </c:pt>
              </c:strCache>
            </c:strRef>
          </c:cat>
          <c:val>
            <c:numRef>
              <c:f>[工作簿1]Sheet1!$B$2:$B$3</c:f>
              <c:numCache>
                <c:formatCode>General</c:formatCode>
                <c:ptCount val="2"/>
                <c:pt idx="0">
                  <c:v>0.58</c:v>
                </c:pt>
                <c:pt idx="1">
                  <c:v>2.97</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266</TotalTime>
  <ScaleCrop>false</ScaleCrop>
  <LinksUpToDate>false</LinksUpToDate>
  <CharactersWithSpaces>8536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NANA</cp:lastModifiedBy>
  <cp:lastPrinted>2020-09-27T03:10:00Z</cp:lastPrinted>
  <dcterms:modified xsi:type="dcterms:W3CDTF">2021-05-22T08:43:27Z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A61956E222574EB58AB4847A00909AED</vt:lpwstr>
  </property>
</Properties>
</file>