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方正小标宋简体" w:hAnsi="宋体" w:eastAsia="方正小标宋简体" w:cs="Times New Roman"/>
          <w:color w:val="auto"/>
          <w:kern w:val="2"/>
          <w:sz w:val="44"/>
          <w:szCs w:val="44"/>
          <w:highlight w:val="none"/>
          <w:lang w:val="en-US" w:eastAsia="zh-CN" w:bidi="ar-SA"/>
        </w:rPr>
      </w:pPr>
    </w:p>
    <w:p>
      <w:pPr>
        <w:pStyle w:val="5"/>
        <w:jc w:val="center"/>
        <w:rPr>
          <w:rFonts w:hint="eastAsia" w:ascii="方正小标宋简体" w:hAnsi="宋体" w:eastAsia="方正小标宋简体" w:cs="Times New Roman"/>
          <w:color w:val="auto"/>
          <w:kern w:val="2"/>
          <w:sz w:val="44"/>
          <w:szCs w:val="44"/>
          <w:highlight w:val="none"/>
          <w:lang w:val="en-US" w:eastAsia="zh-CN" w:bidi="ar-SA"/>
        </w:rPr>
      </w:pPr>
    </w:p>
    <w:p>
      <w:pPr>
        <w:pStyle w:val="6"/>
        <w:rPr>
          <w:rFonts w:hint="eastAsia" w:ascii="方正小标宋简体" w:hAnsi="宋体" w:eastAsia="方正小标宋简体" w:cs="Times New Roman"/>
          <w:color w:val="auto"/>
          <w:kern w:val="2"/>
          <w:sz w:val="44"/>
          <w:szCs w:val="44"/>
          <w:highlight w:val="none"/>
          <w:lang w:val="en-US" w:eastAsia="zh-CN" w:bidi="ar-SA"/>
        </w:rPr>
      </w:pPr>
    </w:p>
    <w:p>
      <w:pPr>
        <w:pStyle w:val="6"/>
        <w:rPr>
          <w:rFonts w:hint="eastAsia" w:ascii="方正小标宋简体" w:hAnsi="宋体" w:eastAsia="方正小标宋简体" w:cs="Times New Roman"/>
          <w:color w:val="auto"/>
          <w:kern w:val="2"/>
          <w:sz w:val="44"/>
          <w:szCs w:val="44"/>
          <w:highlight w:val="none"/>
          <w:lang w:val="en-US" w:eastAsia="zh-CN" w:bidi="ar-SA"/>
        </w:rPr>
      </w:pPr>
    </w:p>
    <w:p>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w:t>
      </w:r>
      <w:bookmarkStart w:id="0" w:name="_Toc15396598"/>
      <w:bookmarkStart w:id="1" w:name="_Toc15377426"/>
      <w:bookmarkStart w:id="2" w:name="_Toc15396476"/>
      <w:bookmarkStart w:id="3" w:name="_Toc15378442"/>
      <w:bookmarkStart w:id="4" w:name="_Toc15377194"/>
      <w:r>
        <w:rPr>
          <w:rFonts w:hint="eastAsia" w:ascii="方正小标宋简体" w:hAnsi="宋体" w:eastAsia="方正小标宋简体" w:cs="Times New Roman"/>
          <w:color w:val="auto"/>
          <w:kern w:val="2"/>
          <w:sz w:val="44"/>
          <w:szCs w:val="44"/>
          <w:highlight w:val="none"/>
          <w:lang w:val="en-US" w:eastAsia="zh-CN" w:bidi="ar-SA"/>
        </w:rPr>
        <w:t>广元市</w:t>
      </w:r>
      <w:bookmarkStart w:id="5" w:name="_Toc15306268"/>
      <w:r>
        <w:rPr>
          <w:rFonts w:hint="eastAsia" w:ascii="方正小标宋简体" w:hAnsi="宋体" w:eastAsia="方正小标宋简体" w:cs="Times New Roman"/>
          <w:color w:val="auto"/>
          <w:kern w:val="2"/>
          <w:sz w:val="44"/>
          <w:szCs w:val="44"/>
          <w:highlight w:val="none"/>
          <w:lang w:val="en-US" w:eastAsia="zh-CN" w:bidi="ar-SA"/>
        </w:rPr>
        <w:t>档案馆部门决算</w:t>
      </w:r>
      <w:bookmarkEnd w:id="0"/>
      <w:bookmarkEnd w:id="1"/>
      <w:bookmarkEnd w:id="2"/>
      <w:bookmarkEnd w:id="3"/>
      <w:bookmarkEnd w:id="4"/>
      <w:bookmarkEnd w:id="5"/>
    </w:p>
    <w:p>
      <w:pPr>
        <w:pageBreakBefore w:val="0"/>
        <w:widowControl/>
        <w:kinsoku/>
        <w:wordWrap/>
        <w:overflowPunct/>
        <w:topLinePunct w:val="0"/>
        <w:bidi w:val="0"/>
        <w:spacing w:line="560" w:lineRule="exact"/>
        <w:ind w:left="0" w:leftChars="0" w:right="0"/>
        <w:jc w:val="center"/>
        <w:textAlignment w:val="auto"/>
        <w:rPr>
          <w:rFonts w:hint="eastAsia" w:ascii="仿宋" w:hAnsi="仿宋" w:eastAsia="仿宋"/>
          <w:b/>
          <w:color w:val="auto"/>
          <w:sz w:val="40"/>
          <w:szCs w:val="40"/>
          <w:highlight w:val="none"/>
        </w:rPr>
        <w:sectPr>
          <w:headerReference r:id="rId4" w:type="first"/>
          <w:footerReference r:id="rId6" w:type="first"/>
          <w:headerReference r:id="rId3" w:type="default"/>
          <w:footerReference r:id="rId5" w:type="default"/>
          <w:pgSz w:w="11906" w:h="16838"/>
          <w:pgMar w:top="1440" w:right="1474" w:bottom="1440" w:left="1587" w:header="851" w:footer="992" w:gutter="0"/>
          <w:pgNumType w:fmt="decimal" w:start="1"/>
          <w:cols w:space="720" w:num="1"/>
          <w:docGrid w:type="lines" w:linePitch="312" w:charSpace="0"/>
        </w:sectPr>
      </w:pPr>
    </w:p>
    <w:p>
      <w:pPr>
        <w:pageBreakBefore w:val="0"/>
        <w:widowControl/>
        <w:kinsoku/>
        <w:wordWrap/>
        <w:overflowPunct/>
        <w:topLinePunct w:val="0"/>
        <w:bidi w:val="0"/>
        <w:spacing w:line="560" w:lineRule="exact"/>
        <w:ind w:left="0" w:leftChars="0" w:right="0"/>
        <w:jc w:val="center"/>
        <w:textAlignment w:val="auto"/>
        <w:rPr>
          <w:rFonts w:hint="eastAsia" w:ascii="仿宋" w:hAnsi="仿宋" w:eastAsia="仿宋"/>
          <w:b/>
          <w:color w:val="auto"/>
          <w:sz w:val="40"/>
          <w:szCs w:val="40"/>
          <w:highlight w:val="none"/>
        </w:rPr>
      </w:pPr>
      <w:r>
        <w:rPr>
          <w:rFonts w:hint="eastAsia" w:ascii="仿宋" w:hAnsi="仿宋" w:eastAsia="仿宋"/>
          <w:b/>
          <w:color w:val="auto"/>
          <w:sz w:val="40"/>
          <w:szCs w:val="40"/>
          <w:highlight w:val="none"/>
        </w:rPr>
        <w:t>目   录</w:t>
      </w:r>
    </w:p>
    <w:p>
      <w:pPr>
        <w:pageBreakBefore w:val="0"/>
        <w:widowControl/>
        <w:kinsoku/>
        <w:wordWrap/>
        <w:overflowPunct/>
        <w:topLinePunct w:val="0"/>
        <w:bidi w:val="0"/>
        <w:spacing w:line="560" w:lineRule="exact"/>
        <w:ind w:left="0" w:leftChars="0" w:right="0"/>
        <w:jc w:val="center"/>
        <w:textAlignment w:val="auto"/>
        <w:outlineLvl w:val="0"/>
        <w:rPr>
          <w:rFonts w:hint="eastAsia" w:ascii="仿宋" w:hAnsi="仿宋" w:eastAsia="仿宋"/>
          <w:b/>
          <w:color w:val="auto"/>
          <w:sz w:val="24"/>
          <w:highlight w:val="none"/>
        </w:rPr>
      </w:pPr>
      <w:bookmarkStart w:id="6" w:name="_Toc17052"/>
      <w:r>
        <w:rPr>
          <w:rFonts w:hint="eastAsia" w:ascii="仿宋" w:hAnsi="仿宋" w:eastAsia="仿宋"/>
          <w:b/>
          <w:color w:val="auto"/>
          <w:sz w:val="24"/>
          <w:highlight w:val="none"/>
        </w:rPr>
        <w:t>公开时间：202</w:t>
      </w:r>
      <w:r>
        <w:rPr>
          <w:rFonts w:hint="eastAsia" w:ascii="仿宋" w:hAnsi="仿宋" w:eastAsia="仿宋"/>
          <w:b/>
          <w:color w:val="auto"/>
          <w:sz w:val="24"/>
          <w:highlight w:val="none"/>
          <w:lang w:val="en-US" w:eastAsia="zh-CN"/>
        </w:rPr>
        <w:t>4</w:t>
      </w:r>
      <w:r>
        <w:rPr>
          <w:rFonts w:hint="eastAsia" w:ascii="仿宋" w:hAnsi="仿宋" w:eastAsia="仿宋"/>
          <w:b/>
          <w:color w:val="auto"/>
          <w:sz w:val="24"/>
          <w:highlight w:val="none"/>
        </w:rPr>
        <w:t>年</w:t>
      </w:r>
      <w:r>
        <w:rPr>
          <w:rFonts w:hint="eastAsia" w:ascii="仿宋" w:hAnsi="仿宋" w:eastAsia="仿宋"/>
          <w:b/>
          <w:color w:val="auto"/>
          <w:sz w:val="24"/>
          <w:highlight w:val="none"/>
          <w:lang w:val="en-US" w:eastAsia="zh-CN"/>
        </w:rPr>
        <w:t>9</w:t>
      </w:r>
      <w:r>
        <w:rPr>
          <w:rFonts w:hint="eastAsia" w:ascii="仿宋" w:hAnsi="仿宋" w:eastAsia="仿宋"/>
          <w:b/>
          <w:color w:val="auto"/>
          <w:sz w:val="24"/>
          <w:highlight w:val="none"/>
        </w:rPr>
        <w:t>月</w:t>
      </w:r>
      <w:r>
        <w:rPr>
          <w:rFonts w:hint="eastAsia" w:ascii="仿宋" w:hAnsi="仿宋" w:eastAsia="仿宋"/>
          <w:b/>
          <w:color w:val="auto"/>
          <w:sz w:val="24"/>
          <w:highlight w:val="none"/>
          <w:lang w:val="en-US" w:eastAsia="zh-CN"/>
        </w:rPr>
        <w:t>30</w:t>
      </w:r>
      <w:r>
        <w:rPr>
          <w:rFonts w:hint="eastAsia" w:ascii="仿宋" w:hAnsi="仿宋" w:eastAsia="仿宋"/>
          <w:b/>
          <w:color w:val="auto"/>
          <w:sz w:val="24"/>
          <w:highlight w:val="none"/>
        </w:rPr>
        <w:t>日</w:t>
      </w:r>
      <w:bookmarkEnd w:id="6"/>
    </w:p>
    <w:sdt>
      <w:sdtPr>
        <w:rPr>
          <w:rFonts w:ascii="宋体" w:hAnsi="宋体" w:eastAsia="宋体" w:cs="Times New Roman"/>
          <w:b w:val="0"/>
          <w:bCs w:val="0"/>
          <w:kern w:val="2"/>
          <w:sz w:val="21"/>
          <w:szCs w:val="24"/>
          <w:lang w:val="en-US" w:eastAsia="zh-CN" w:bidi="ar-SA"/>
        </w:rPr>
        <w:id w:val="147477556"/>
        <w15:color w:val="DBDBDB"/>
        <w:docPartObj>
          <w:docPartGallery w:val="Table of Contents"/>
          <w:docPartUnique/>
        </w:docPartObj>
      </w:sdtPr>
      <w:sdtEndPr>
        <w:rPr>
          <w:rFonts w:ascii="宋体" w:hAnsi="宋体" w:eastAsia="宋体" w:cs="Times New Roman"/>
          <w:b/>
          <w:bCs w:val="0"/>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eastAsia="宋体"/>
              <w:b w:val="0"/>
              <w:bCs w:val="0"/>
              <w:lang w:val="en-US" w:eastAsia="zh"/>
            </w:rPr>
          </w:pPr>
          <w:bookmarkStart w:id="96" w:name="_GoBack"/>
          <w:bookmarkEnd w:id="96"/>
        </w:p>
        <w:p>
          <w:pPr>
            <w:pStyle w:val="21"/>
            <w:tabs>
              <w:tab w:val="right" w:leader="dot" w:pos="8845"/>
            </w:tabs>
            <w:rPr>
              <w:b w:val="0"/>
              <w:bCs w:val="0"/>
              <w:sz w:val="24"/>
              <w:szCs w:val="24"/>
            </w:rPr>
          </w:pPr>
          <w:r>
            <w:rPr>
              <w:b w:val="0"/>
              <w:bCs w:val="0"/>
            </w:rPr>
            <w:fldChar w:fldCharType="begin"/>
          </w:r>
          <w:r>
            <w:rPr>
              <w:b w:val="0"/>
              <w:bCs w:val="0"/>
            </w:rPr>
            <w:instrText xml:space="preserve">TOC \o "1-2" \h \u </w:instrText>
          </w:r>
          <w:r>
            <w:rPr>
              <w:b w:val="0"/>
              <w:bCs w:val="0"/>
            </w:rPr>
            <w:fldChar w:fldCharType="separate"/>
          </w:r>
          <w:r>
            <w:rPr>
              <w:b w:val="0"/>
              <w:bCs w:val="0"/>
              <w:sz w:val="24"/>
              <w:szCs w:val="24"/>
            </w:rPr>
            <w:fldChar w:fldCharType="begin"/>
          </w:r>
          <w:r>
            <w:rPr>
              <w:b w:val="0"/>
              <w:bCs w:val="0"/>
              <w:sz w:val="24"/>
              <w:szCs w:val="24"/>
            </w:rPr>
            <w:instrText xml:space="preserve"> HYPERLINK \l _Toc19888 </w:instrText>
          </w:r>
          <w:r>
            <w:rPr>
              <w:b w:val="0"/>
              <w:bCs w:val="0"/>
              <w:sz w:val="24"/>
              <w:szCs w:val="24"/>
            </w:rPr>
            <w:fldChar w:fldCharType="separate"/>
          </w:r>
          <w:r>
            <w:rPr>
              <w:rFonts w:hint="eastAsia" w:ascii="黑体" w:hAnsi="黑体" w:eastAsia="黑体" w:cs="Times New Roman"/>
              <w:b w:val="0"/>
              <w:bCs w:val="0"/>
              <w:sz w:val="24"/>
              <w:szCs w:val="24"/>
              <w:highlight w:val="none"/>
            </w:rPr>
            <w:t xml:space="preserve">第一部分 </w:t>
          </w:r>
          <w:r>
            <w:rPr>
              <w:rFonts w:hint="eastAsia" w:ascii="黑体" w:hAnsi="黑体" w:eastAsia="黑体"/>
              <w:b w:val="0"/>
              <w:bCs w:val="0"/>
              <w:sz w:val="24"/>
              <w:szCs w:val="24"/>
              <w:highlight w:val="none"/>
            </w:rPr>
            <w:t>部门概况</w:t>
          </w:r>
          <w:r>
            <w:rPr>
              <w:b w:val="0"/>
              <w:bCs w:val="0"/>
              <w:sz w:val="24"/>
              <w:szCs w:val="24"/>
            </w:rPr>
            <w:tab/>
          </w:r>
          <w:r>
            <w:rPr>
              <w:b w:val="0"/>
              <w:bCs w:val="0"/>
              <w:sz w:val="24"/>
              <w:szCs w:val="24"/>
            </w:rPr>
            <w:fldChar w:fldCharType="begin"/>
          </w:r>
          <w:r>
            <w:rPr>
              <w:b w:val="0"/>
              <w:bCs w:val="0"/>
              <w:sz w:val="24"/>
              <w:szCs w:val="24"/>
            </w:rPr>
            <w:instrText xml:space="preserve"> PAGEREF _Toc19888 \h </w:instrText>
          </w:r>
          <w:r>
            <w:rPr>
              <w:b w:val="0"/>
              <w:bCs w:val="0"/>
              <w:sz w:val="24"/>
              <w:szCs w:val="24"/>
            </w:rPr>
            <w:fldChar w:fldCharType="separate"/>
          </w:r>
          <w:r>
            <w:rPr>
              <w:b w:val="0"/>
              <w:bCs w:val="0"/>
              <w:sz w:val="24"/>
              <w:szCs w:val="24"/>
            </w:rPr>
            <w:t>1</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_Toc11981 </w:instrText>
          </w:r>
          <w:r>
            <w:rPr>
              <w:b w:val="0"/>
              <w:bCs w:val="0"/>
              <w:sz w:val="24"/>
              <w:szCs w:val="24"/>
            </w:rPr>
            <w:fldChar w:fldCharType="separate"/>
          </w:r>
          <w:r>
            <w:rPr>
              <w:rFonts w:hint="eastAsia" w:ascii="黑体" w:hAnsi="黑体" w:eastAsia="黑体"/>
              <w:b w:val="0"/>
              <w:bCs w:val="0"/>
              <w:sz w:val="24"/>
              <w:szCs w:val="24"/>
              <w:highlight w:val="none"/>
              <w:lang w:eastAsia="zh-CN"/>
            </w:rPr>
            <w:t>一、部门职责</w:t>
          </w:r>
          <w:r>
            <w:rPr>
              <w:b w:val="0"/>
              <w:bCs w:val="0"/>
              <w:sz w:val="24"/>
              <w:szCs w:val="24"/>
            </w:rPr>
            <w:tab/>
          </w:r>
          <w:r>
            <w:rPr>
              <w:b w:val="0"/>
              <w:bCs w:val="0"/>
              <w:sz w:val="24"/>
              <w:szCs w:val="24"/>
            </w:rPr>
            <w:fldChar w:fldCharType="begin"/>
          </w:r>
          <w:r>
            <w:rPr>
              <w:b w:val="0"/>
              <w:bCs w:val="0"/>
              <w:sz w:val="24"/>
              <w:szCs w:val="24"/>
            </w:rPr>
            <w:instrText xml:space="preserve"> PAGEREF _Toc11981 \h </w:instrText>
          </w:r>
          <w:r>
            <w:rPr>
              <w:b w:val="0"/>
              <w:bCs w:val="0"/>
              <w:sz w:val="24"/>
              <w:szCs w:val="24"/>
            </w:rPr>
            <w:fldChar w:fldCharType="separate"/>
          </w:r>
          <w:r>
            <w:rPr>
              <w:b w:val="0"/>
              <w:bCs w:val="0"/>
              <w:sz w:val="24"/>
              <w:szCs w:val="24"/>
            </w:rPr>
            <w:t>1</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_Toc2329 </w:instrText>
          </w:r>
          <w:r>
            <w:rPr>
              <w:b w:val="0"/>
              <w:bCs w:val="0"/>
              <w:sz w:val="24"/>
              <w:szCs w:val="24"/>
            </w:rPr>
            <w:fldChar w:fldCharType="separate"/>
          </w:r>
          <w:r>
            <w:rPr>
              <w:rFonts w:hint="eastAsia" w:ascii="黑体" w:eastAsia="黑体"/>
              <w:b w:val="0"/>
              <w:bCs w:val="0"/>
              <w:sz w:val="24"/>
              <w:szCs w:val="24"/>
              <w:highlight w:val="none"/>
            </w:rPr>
            <w:t>二、</w:t>
          </w:r>
          <w:r>
            <w:rPr>
              <w:rFonts w:hint="eastAsia" w:ascii="黑体" w:hAnsi="黑体" w:eastAsia="黑体"/>
              <w:b w:val="0"/>
              <w:bCs w:val="0"/>
              <w:sz w:val="24"/>
              <w:szCs w:val="24"/>
              <w:highlight w:val="none"/>
            </w:rPr>
            <w:t>机构设置</w:t>
          </w:r>
          <w:r>
            <w:rPr>
              <w:b w:val="0"/>
              <w:bCs w:val="0"/>
              <w:sz w:val="24"/>
              <w:szCs w:val="24"/>
            </w:rPr>
            <w:tab/>
          </w:r>
          <w:r>
            <w:rPr>
              <w:b w:val="0"/>
              <w:bCs w:val="0"/>
              <w:sz w:val="24"/>
              <w:szCs w:val="24"/>
            </w:rPr>
            <w:fldChar w:fldCharType="begin"/>
          </w:r>
          <w:r>
            <w:rPr>
              <w:b w:val="0"/>
              <w:bCs w:val="0"/>
              <w:sz w:val="24"/>
              <w:szCs w:val="24"/>
            </w:rPr>
            <w:instrText xml:space="preserve"> PAGEREF _Toc2329 \h </w:instrText>
          </w:r>
          <w:r>
            <w:rPr>
              <w:b w:val="0"/>
              <w:bCs w:val="0"/>
              <w:sz w:val="24"/>
              <w:szCs w:val="24"/>
            </w:rPr>
            <w:fldChar w:fldCharType="separate"/>
          </w:r>
          <w:r>
            <w:rPr>
              <w:b w:val="0"/>
              <w:bCs w:val="0"/>
              <w:sz w:val="24"/>
              <w:szCs w:val="24"/>
            </w:rPr>
            <w:t>1</w:t>
          </w:r>
          <w:r>
            <w:rPr>
              <w:b w:val="0"/>
              <w:bCs w:val="0"/>
              <w:sz w:val="24"/>
              <w:szCs w:val="24"/>
            </w:rPr>
            <w:fldChar w:fldCharType="end"/>
          </w:r>
          <w:r>
            <w:rPr>
              <w:b w:val="0"/>
              <w:bCs w:val="0"/>
              <w:sz w:val="24"/>
              <w:szCs w:val="24"/>
            </w:rPr>
            <w:fldChar w:fldCharType="end"/>
          </w:r>
        </w:p>
        <w:p>
          <w:pPr>
            <w:pStyle w:val="21"/>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_Toc13305 </w:instrText>
          </w:r>
          <w:r>
            <w:rPr>
              <w:b w:val="0"/>
              <w:bCs w:val="0"/>
              <w:sz w:val="24"/>
              <w:szCs w:val="24"/>
            </w:rPr>
            <w:fldChar w:fldCharType="separate"/>
          </w:r>
          <w:r>
            <w:rPr>
              <w:rFonts w:hint="eastAsia" w:ascii="黑体" w:hAnsi="黑体" w:eastAsia="黑体" w:cs="Times New Roman"/>
              <w:b w:val="0"/>
              <w:bCs w:val="0"/>
              <w:sz w:val="24"/>
              <w:szCs w:val="24"/>
              <w:highlight w:val="none"/>
            </w:rPr>
            <w:t xml:space="preserve">第二部分 </w:t>
          </w:r>
          <w:r>
            <w:rPr>
              <w:rFonts w:hint="eastAsia" w:ascii="黑体" w:hAnsi="黑体" w:eastAsia="黑体" w:cs="Times New Roman"/>
              <w:b w:val="0"/>
              <w:bCs w:val="0"/>
              <w:sz w:val="24"/>
              <w:szCs w:val="24"/>
              <w:highlight w:val="none"/>
              <w:lang w:val="en-US" w:eastAsia="zh-CN"/>
            </w:rPr>
            <w:t>2023年度</w:t>
          </w:r>
          <w:r>
            <w:rPr>
              <w:rFonts w:hint="eastAsia" w:ascii="黑体" w:hAnsi="黑体" w:eastAsia="黑体"/>
              <w:b w:val="0"/>
              <w:bCs w:val="0"/>
              <w:sz w:val="24"/>
              <w:szCs w:val="24"/>
              <w:highlight w:val="none"/>
            </w:rPr>
            <w:t>部门决算情况说明</w:t>
          </w:r>
          <w:r>
            <w:rPr>
              <w:b w:val="0"/>
              <w:bCs w:val="0"/>
              <w:sz w:val="24"/>
              <w:szCs w:val="24"/>
            </w:rPr>
            <w:tab/>
          </w:r>
          <w:r>
            <w:rPr>
              <w:b w:val="0"/>
              <w:bCs w:val="0"/>
              <w:sz w:val="24"/>
              <w:szCs w:val="24"/>
            </w:rPr>
            <w:fldChar w:fldCharType="begin"/>
          </w:r>
          <w:r>
            <w:rPr>
              <w:b w:val="0"/>
              <w:bCs w:val="0"/>
              <w:sz w:val="24"/>
              <w:szCs w:val="24"/>
            </w:rPr>
            <w:instrText xml:space="preserve"> PAGEREF _Toc13305 \h </w:instrText>
          </w:r>
          <w:r>
            <w:rPr>
              <w:b w:val="0"/>
              <w:bCs w:val="0"/>
              <w:sz w:val="24"/>
              <w:szCs w:val="24"/>
            </w:rPr>
            <w:fldChar w:fldCharType="separate"/>
          </w:r>
          <w:r>
            <w:rPr>
              <w:b w:val="0"/>
              <w:bCs w:val="0"/>
              <w:sz w:val="24"/>
              <w:szCs w:val="24"/>
            </w:rPr>
            <w:t>2</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_Toc30150 </w:instrText>
          </w:r>
          <w:r>
            <w:rPr>
              <w:b w:val="0"/>
              <w:bCs w:val="0"/>
              <w:sz w:val="24"/>
              <w:szCs w:val="24"/>
            </w:rPr>
            <w:fldChar w:fldCharType="separate"/>
          </w:r>
          <w:r>
            <w:rPr>
              <w:rFonts w:hint="eastAsia" w:ascii="黑体" w:hAnsi="黑体" w:eastAsia="黑体"/>
              <w:b w:val="0"/>
              <w:bCs w:val="0"/>
              <w:sz w:val="24"/>
              <w:szCs w:val="44"/>
              <w:highlight w:val="none"/>
              <w:lang w:eastAsia="zh-CN"/>
            </w:rPr>
            <w:t>一、</w:t>
          </w:r>
          <w:r>
            <w:rPr>
              <w:rFonts w:hint="eastAsia" w:ascii="黑体" w:hAnsi="黑体" w:eastAsia="黑体"/>
              <w:b w:val="0"/>
              <w:bCs w:val="0"/>
              <w:sz w:val="24"/>
              <w:szCs w:val="44"/>
              <w:highlight w:val="none"/>
            </w:rPr>
            <w:t>收</w:t>
          </w:r>
          <w:r>
            <w:rPr>
              <w:rFonts w:hint="eastAsia" w:ascii="黑体" w:hAnsi="黑体" w:eastAsia="黑体"/>
              <w:b w:val="0"/>
              <w:bCs w:val="0"/>
              <w:sz w:val="24"/>
              <w:szCs w:val="24"/>
              <w:highlight w:val="none"/>
            </w:rPr>
            <w:t>入支出决算总体情况说明</w:t>
          </w:r>
          <w:r>
            <w:rPr>
              <w:b w:val="0"/>
              <w:bCs w:val="0"/>
              <w:sz w:val="24"/>
              <w:szCs w:val="24"/>
            </w:rPr>
            <w:tab/>
          </w:r>
          <w:r>
            <w:rPr>
              <w:b w:val="0"/>
              <w:bCs w:val="0"/>
              <w:sz w:val="24"/>
              <w:szCs w:val="24"/>
            </w:rPr>
            <w:fldChar w:fldCharType="begin"/>
          </w:r>
          <w:r>
            <w:rPr>
              <w:b w:val="0"/>
              <w:bCs w:val="0"/>
              <w:sz w:val="24"/>
              <w:szCs w:val="24"/>
            </w:rPr>
            <w:instrText xml:space="preserve"> PAGEREF _Toc30150 \h </w:instrText>
          </w:r>
          <w:r>
            <w:rPr>
              <w:b w:val="0"/>
              <w:bCs w:val="0"/>
              <w:sz w:val="24"/>
              <w:szCs w:val="24"/>
            </w:rPr>
            <w:fldChar w:fldCharType="separate"/>
          </w:r>
          <w:r>
            <w:rPr>
              <w:b w:val="0"/>
              <w:bCs w:val="0"/>
              <w:sz w:val="24"/>
              <w:szCs w:val="24"/>
            </w:rPr>
            <w:t>2</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_Toc24557 </w:instrText>
          </w:r>
          <w:r>
            <w:rPr>
              <w:b w:val="0"/>
              <w:bCs w:val="0"/>
              <w:sz w:val="24"/>
              <w:szCs w:val="24"/>
            </w:rPr>
            <w:fldChar w:fldCharType="separate"/>
          </w:r>
          <w:r>
            <w:rPr>
              <w:rFonts w:hint="eastAsia" w:ascii="黑体" w:hAnsi="黑体" w:eastAsia="黑体"/>
              <w:b w:val="0"/>
              <w:bCs w:val="0"/>
              <w:sz w:val="24"/>
              <w:szCs w:val="44"/>
              <w:highlight w:val="none"/>
              <w:lang w:eastAsia="zh-CN"/>
            </w:rPr>
            <w:t>二、</w:t>
          </w:r>
          <w:r>
            <w:rPr>
              <w:rFonts w:hint="eastAsia" w:ascii="黑体" w:hAnsi="黑体" w:eastAsia="黑体"/>
              <w:b w:val="0"/>
              <w:bCs w:val="0"/>
              <w:sz w:val="24"/>
              <w:szCs w:val="44"/>
              <w:highlight w:val="none"/>
            </w:rPr>
            <w:t>收</w:t>
          </w:r>
          <w:r>
            <w:rPr>
              <w:rFonts w:hint="eastAsia" w:ascii="黑体" w:hAnsi="黑体" w:eastAsia="黑体"/>
              <w:b w:val="0"/>
              <w:bCs w:val="0"/>
              <w:sz w:val="24"/>
              <w:szCs w:val="24"/>
              <w:highlight w:val="none"/>
            </w:rPr>
            <w:t>入决算情况说明</w:t>
          </w:r>
          <w:r>
            <w:rPr>
              <w:b w:val="0"/>
              <w:bCs w:val="0"/>
              <w:sz w:val="24"/>
              <w:szCs w:val="24"/>
            </w:rPr>
            <w:tab/>
          </w:r>
          <w:r>
            <w:rPr>
              <w:b w:val="0"/>
              <w:bCs w:val="0"/>
              <w:sz w:val="24"/>
              <w:szCs w:val="24"/>
            </w:rPr>
            <w:fldChar w:fldCharType="begin"/>
          </w:r>
          <w:r>
            <w:rPr>
              <w:b w:val="0"/>
              <w:bCs w:val="0"/>
              <w:sz w:val="24"/>
              <w:szCs w:val="24"/>
            </w:rPr>
            <w:instrText xml:space="preserve"> PAGEREF _Toc24557 \h </w:instrText>
          </w:r>
          <w:r>
            <w:rPr>
              <w:b w:val="0"/>
              <w:bCs w:val="0"/>
              <w:sz w:val="24"/>
              <w:szCs w:val="24"/>
            </w:rPr>
            <w:fldChar w:fldCharType="separate"/>
          </w:r>
          <w:r>
            <w:rPr>
              <w:b w:val="0"/>
              <w:bCs w:val="0"/>
              <w:sz w:val="24"/>
              <w:szCs w:val="24"/>
            </w:rPr>
            <w:t>2</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_Toc24509 </w:instrText>
          </w:r>
          <w:r>
            <w:rPr>
              <w:b w:val="0"/>
              <w:bCs w:val="0"/>
              <w:sz w:val="24"/>
              <w:szCs w:val="24"/>
            </w:rPr>
            <w:fldChar w:fldCharType="separate"/>
          </w:r>
          <w:r>
            <w:rPr>
              <w:rFonts w:hint="eastAsia" w:ascii="黑体" w:hAnsi="黑体" w:eastAsia="黑体"/>
              <w:b w:val="0"/>
              <w:bCs w:val="0"/>
              <w:sz w:val="24"/>
              <w:szCs w:val="44"/>
              <w:highlight w:val="none"/>
              <w:lang w:eastAsia="zh-CN"/>
            </w:rPr>
            <w:t>三、</w:t>
          </w:r>
          <w:r>
            <w:rPr>
              <w:rFonts w:hint="eastAsia" w:ascii="黑体" w:hAnsi="黑体" w:eastAsia="黑体"/>
              <w:b w:val="0"/>
              <w:bCs w:val="0"/>
              <w:sz w:val="24"/>
              <w:szCs w:val="44"/>
              <w:highlight w:val="none"/>
            </w:rPr>
            <w:t>支</w:t>
          </w:r>
          <w:r>
            <w:rPr>
              <w:rFonts w:hint="eastAsia" w:ascii="黑体" w:hAnsi="黑体" w:eastAsia="黑体"/>
              <w:b w:val="0"/>
              <w:bCs w:val="0"/>
              <w:sz w:val="24"/>
              <w:szCs w:val="24"/>
              <w:highlight w:val="none"/>
            </w:rPr>
            <w:t>出决算情况说明</w:t>
          </w:r>
          <w:r>
            <w:rPr>
              <w:b w:val="0"/>
              <w:bCs w:val="0"/>
              <w:sz w:val="24"/>
              <w:szCs w:val="24"/>
            </w:rPr>
            <w:tab/>
          </w:r>
          <w:r>
            <w:rPr>
              <w:b w:val="0"/>
              <w:bCs w:val="0"/>
              <w:sz w:val="24"/>
              <w:szCs w:val="24"/>
            </w:rPr>
            <w:fldChar w:fldCharType="begin"/>
          </w:r>
          <w:r>
            <w:rPr>
              <w:b w:val="0"/>
              <w:bCs w:val="0"/>
              <w:sz w:val="24"/>
              <w:szCs w:val="24"/>
            </w:rPr>
            <w:instrText xml:space="preserve"> PAGEREF _Toc24509 \h </w:instrText>
          </w:r>
          <w:r>
            <w:rPr>
              <w:b w:val="0"/>
              <w:bCs w:val="0"/>
              <w:sz w:val="24"/>
              <w:szCs w:val="24"/>
            </w:rPr>
            <w:fldChar w:fldCharType="separate"/>
          </w:r>
          <w:r>
            <w:rPr>
              <w:b w:val="0"/>
              <w:bCs w:val="0"/>
              <w:sz w:val="24"/>
              <w:szCs w:val="24"/>
            </w:rPr>
            <w:t>2</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_Toc32431 </w:instrText>
          </w:r>
          <w:r>
            <w:rPr>
              <w:b w:val="0"/>
              <w:bCs w:val="0"/>
              <w:sz w:val="24"/>
              <w:szCs w:val="24"/>
            </w:rPr>
            <w:fldChar w:fldCharType="separate"/>
          </w:r>
          <w:r>
            <w:rPr>
              <w:rFonts w:hint="eastAsia" w:ascii="黑体" w:hAnsi="黑体" w:eastAsia="黑体"/>
              <w:b w:val="0"/>
              <w:bCs w:val="0"/>
              <w:sz w:val="24"/>
              <w:szCs w:val="44"/>
              <w:highlight w:val="none"/>
            </w:rPr>
            <w:t>四、财</w:t>
          </w:r>
          <w:r>
            <w:rPr>
              <w:rFonts w:hint="eastAsia" w:ascii="黑体" w:hAnsi="黑体" w:eastAsia="黑体"/>
              <w:b w:val="0"/>
              <w:bCs w:val="0"/>
              <w:sz w:val="24"/>
              <w:szCs w:val="24"/>
              <w:highlight w:val="none"/>
            </w:rPr>
            <w:t>政拨款收入支出决算总体情况说明</w:t>
          </w:r>
          <w:r>
            <w:rPr>
              <w:b w:val="0"/>
              <w:bCs w:val="0"/>
              <w:sz w:val="24"/>
              <w:szCs w:val="24"/>
            </w:rPr>
            <w:tab/>
          </w:r>
          <w:r>
            <w:rPr>
              <w:b w:val="0"/>
              <w:bCs w:val="0"/>
              <w:sz w:val="24"/>
              <w:szCs w:val="24"/>
            </w:rPr>
            <w:fldChar w:fldCharType="begin"/>
          </w:r>
          <w:r>
            <w:rPr>
              <w:b w:val="0"/>
              <w:bCs w:val="0"/>
              <w:sz w:val="24"/>
              <w:szCs w:val="24"/>
            </w:rPr>
            <w:instrText xml:space="preserve"> PAGEREF _Toc32431 \h </w:instrText>
          </w:r>
          <w:r>
            <w:rPr>
              <w:b w:val="0"/>
              <w:bCs w:val="0"/>
              <w:sz w:val="24"/>
              <w:szCs w:val="24"/>
            </w:rPr>
            <w:fldChar w:fldCharType="separate"/>
          </w:r>
          <w:r>
            <w:rPr>
              <w:b w:val="0"/>
              <w:bCs w:val="0"/>
              <w:sz w:val="24"/>
              <w:szCs w:val="24"/>
            </w:rPr>
            <w:t>3</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_Toc31522 </w:instrText>
          </w:r>
          <w:r>
            <w:rPr>
              <w:b w:val="0"/>
              <w:bCs w:val="0"/>
              <w:sz w:val="24"/>
              <w:szCs w:val="24"/>
            </w:rPr>
            <w:fldChar w:fldCharType="separate"/>
          </w:r>
          <w:r>
            <w:rPr>
              <w:rFonts w:hint="eastAsia" w:ascii="黑体" w:hAnsi="黑体" w:eastAsia="黑体"/>
              <w:b w:val="0"/>
              <w:bCs w:val="0"/>
              <w:sz w:val="24"/>
              <w:szCs w:val="24"/>
              <w:highlight w:val="none"/>
            </w:rPr>
            <w:t>五、一般公共预算财政拨款支出决算情况说明</w:t>
          </w:r>
          <w:r>
            <w:rPr>
              <w:b w:val="0"/>
              <w:bCs w:val="0"/>
              <w:sz w:val="24"/>
              <w:szCs w:val="24"/>
            </w:rPr>
            <w:tab/>
          </w:r>
          <w:r>
            <w:rPr>
              <w:b w:val="0"/>
              <w:bCs w:val="0"/>
              <w:sz w:val="24"/>
              <w:szCs w:val="24"/>
            </w:rPr>
            <w:fldChar w:fldCharType="begin"/>
          </w:r>
          <w:r>
            <w:rPr>
              <w:b w:val="0"/>
              <w:bCs w:val="0"/>
              <w:sz w:val="24"/>
              <w:szCs w:val="24"/>
            </w:rPr>
            <w:instrText xml:space="preserve"> PAGEREF _Toc31522 \h </w:instrText>
          </w:r>
          <w:r>
            <w:rPr>
              <w:b w:val="0"/>
              <w:bCs w:val="0"/>
              <w:sz w:val="24"/>
              <w:szCs w:val="24"/>
            </w:rPr>
            <w:fldChar w:fldCharType="separate"/>
          </w:r>
          <w:r>
            <w:rPr>
              <w:b w:val="0"/>
              <w:bCs w:val="0"/>
              <w:sz w:val="24"/>
              <w:szCs w:val="24"/>
            </w:rPr>
            <w:t>3</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_Toc19353 </w:instrText>
          </w:r>
          <w:r>
            <w:rPr>
              <w:b w:val="0"/>
              <w:bCs w:val="0"/>
              <w:sz w:val="24"/>
              <w:szCs w:val="24"/>
            </w:rPr>
            <w:fldChar w:fldCharType="separate"/>
          </w:r>
          <w:r>
            <w:rPr>
              <w:rFonts w:hint="eastAsia" w:ascii="黑体" w:eastAsia="黑体"/>
              <w:b w:val="0"/>
              <w:bCs w:val="0"/>
              <w:sz w:val="24"/>
              <w:szCs w:val="44"/>
              <w:highlight w:val="none"/>
            </w:rPr>
            <w:t>六、</w:t>
          </w:r>
          <w:r>
            <w:rPr>
              <w:rFonts w:hint="eastAsia" w:ascii="黑体" w:hAnsi="黑体" w:eastAsia="黑体"/>
              <w:b w:val="0"/>
              <w:bCs w:val="0"/>
              <w:sz w:val="24"/>
              <w:szCs w:val="44"/>
              <w:highlight w:val="none"/>
            </w:rPr>
            <w:t>一</w:t>
          </w:r>
          <w:r>
            <w:rPr>
              <w:rFonts w:hint="eastAsia" w:ascii="黑体" w:hAnsi="黑体" w:eastAsia="黑体"/>
              <w:b w:val="0"/>
              <w:bCs w:val="0"/>
              <w:sz w:val="24"/>
              <w:szCs w:val="24"/>
              <w:highlight w:val="none"/>
            </w:rPr>
            <w:t>般公共预算财政拨款基本支出决算情况说明</w:t>
          </w:r>
          <w:r>
            <w:rPr>
              <w:b w:val="0"/>
              <w:bCs w:val="0"/>
              <w:sz w:val="24"/>
              <w:szCs w:val="24"/>
            </w:rPr>
            <w:tab/>
          </w:r>
          <w:r>
            <w:rPr>
              <w:b w:val="0"/>
              <w:bCs w:val="0"/>
              <w:sz w:val="24"/>
              <w:szCs w:val="24"/>
            </w:rPr>
            <w:fldChar w:fldCharType="begin"/>
          </w:r>
          <w:r>
            <w:rPr>
              <w:b w:val="0"/>
              <w:bCs w:val="0"/>
              <w:sz w:val="24"/>
              <w:szCs w:val="24"/>
            </w:rPr>
            <w:instrText xml:space="preserve"> PAGEREF _Toc19353 \h </w:instrText>
          </w:r>
          <w:r>
            <w:rPr>
              <w:b w:val="0"/>
              <w:bCs w:val="0"/>
              <w:sz w:val="24"/>
              <w:szCs w:val="24"/>
            </w:rPr>
            <w:fldChar w:fldCharType="separate"/>
          </w:r>
          <w:r>
            <w:rPr>
              <w:b w:val="0"/>
              <w:bCs w:val="0"/>
              <w:sz w:val="24"/>
              <w:szCs w:val="24"/>
            </w:rPr>
            <w:t>6</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_Toc15497 </w:instrText>
          </w:r>
          <w:r>
            <w:rPr>
              <w:b w:val="0"/>
              <w:bCs w:val="0"/>
              <w:sz w:val="24"/>
              <w:szCs w:val="24"/>
            </w:rPr>
            <w:fldChar w:fldCharType="separate"/>
          </w:r>
          <w:r>
            <w:rPr>
              <w:rFonts w:hint="eastAsia" w:ascii="黑体" w:eastAsia="黑体"/>
              <w:b w:val="0"/>
              <w:bCs w:val="0"/>
              <w:sz w:val="24"/>
              <w:szCs w:val="44"/>
              <w:highlight w:val="none"/>
            </w:rPr>
            <w:t>七、</w:t>
          </w:r>
          <w:r>
            <w:rPr>
              <w:rFonts w:hint="eastAsia" w:ascii="黑体" w:hAnsi="黑体" w:eastAsia="黑体"/>
              <w:b w:val="0"/>
              <w:bCs w:val="0"/>
              <w:sz w:val="24"/>
              <w:szCs w:val="24"/>
              <w:highlight w:val="none"/>
            </w:rPr>
            <w:t>财政拨款“三公”经费支出决算情况说明</w:t>
          </w:r>
          <w:r>
            <w:rPr>
              <w:b w:val="0"/>
              <w:bCs w:val="0"/>
              <w:sz w:val="24"/>
              <w:szCs w:val="24"/>
            </w:rPr>
            <w:tab/>
          </w:r>
          <w:r>
            <w:rPr>
              <w:b w:val="0"/>
              <w:bCs w:val="0"/>
              <w:sz w:val="24"/>
              <w:szCs w:val="24"/>
            </w:rPr>
            <w:fldChar w:fldCharType="begin"/>
          </w:r>
          <w:r>
            <w:rPr>
              <w:b w:val="0"/>
              <w:bCs w:val="0"/>
              <w:sz w:val="24"/>
              <w:szCs w:val="24"/>
            </w:rPr>
            <w:instrText xml:space="preserve"> PAGEREF _Toc15497 \h </w:instrText>
          </w:r>
          <w:r>
            <w:rPr>
              <w:b w:val="0"/>
              <w:bCs w:val="0"/>
              <w:sz w:val="24"/>
              <w:szCs w:val="24"/>
            </w:rPr>
            <w:fldChar w:fldCharType="separate"/>
          </w:r>
          <w:r>
            <w:rPr>
              <w:b w:val="0"/>
              <w:bCs w:val="0"/>
              <w:sz w:val="24"/>
              <w:szCs w:val="24"/>
            </w:rPr>
            <w:t>6</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_Toc1932 </w:instrText>
          </w:r>
          <w:r>
            <w:rPr>
              <w:b w:val="0"/>
              <w:bCs w:val="0"/>
              <w:sz w:val="24"/>
              <w:szCs w:val="24"/>
            </w:rPr>
            <w:fldChar w:fldCharType="separate"/>
          </w:r>
          <w:r>
            <w:rPr>
              <w:rFonts w:hint="eastAsia" w:ascii="黑体" w:eastAsia="黑体"/>
              <w:b w:val="0"/>
              <w:bCs w:val="0"/>
              <w:sz w:val="24"/>
              <w:szCs w:val="44"/>
              <w:highlight w:val="none"/>
            </w:rPr>
            <w:t>八、</w:t>
          </w:r>
          <w:r>
            <w:rPr>
              <w:rFonts w:hint="eastAsia" w:ascii="黑体" w:hAnsi="黑体" w:eastAsia="黑体"/>
              <w:b w:val="0"/>
              <w:bCs w:val="0"/>
              <w:sz w:val="24"/>
              <w:szCs w:val="24"/>
              <w:highlight w:val="none"/>
            </w:rPr>
            <w:t>政府性基金预算支出决算情况说明</w:t>
          </w:r>
          <w:r>
            <w:rPr>
              <w:b w:val="0"/>
              <w:bCs w:val="0"/>
              <w:sz w:val="24"/>
              <w:szCs w:val="24"/>
            </w:rPr>
            <w:tab/>
          </w:r>
          <w:r>
            <w:rPr>
              <w:b w:val="0"/>
              <w:bCs w:val="0"/>
              <w:sz w:val="24"/>
              <w:szCs w:val="24"/>
            </w:rPr>
            <w:fldChar w:fldCharType="begin"/>
          </w:r>
          <w:r>
            <w:rPr>
              <w:b w:val="0"/>
              <w:bCs w:val="0"/>
              <w:sz w:val="24"/>
              <w:szCs w:val="24"/>
            </w:rPr>
            <w:instrText xml:space="preserve"> PAGEREF _Toc1932 \h </w:instrText>
          </w:r>
          <w:r>
            <w:rPr>
              <w:b w:val="0"/>
              <w:bCs w:val="0"/>
              <w:sz w:val="24"/>
              <w:szCs w:val="24"/>
            </w:rPr>
            <w:fldChar w:fldCharType="separate"/>
          </w:r>
          <w:r>
            <w:rPr>
              <w:b w:val="0"/>
              <w:bCs w:val="0"/>
              <w:sz w:val="24"/>
              <w:szCs w:val="24"/>
            </w:rPr>
            <w:t>8</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_Toc18109 </w:instrText>
          </w:r>
          <w:r>
            <w:rPr>
              <w:b w:val="0"/>
              <w:bCs w:val="0"/>
              <w:sz w:val="24"/>
              <w:szCs w:val="24"/>
            </w:rPr>
            <w:fldChar w:fldCharType="separate"/>
          </w:r>
          <w:r>
            <w:rPr>
              <w:rFonts w:hint="eastAsia" w:ascii="黑体" w:hAnsi="黑体" w:eastAsia="黑体"/>
              <w:b w:val="0"/>
              <w:bCs w:val="0"/>
              <w:sz w:val="24"/>
              <w:szCs w:val="24"/>
              <w:highlight w:val="none"/>
              <w:lang w:eastAsia="zh-CN"/>
            </w:rPr>
            <w:t>九、</w:t>
          </w:r>
          <w:r>
            <w:rPr>
              <w:rFonts w:hint="eastAsia" w:ascii="黑体" w:hAnsi="黑体" w:eastAsia="黑体"/>
              <w:b w:val="0"/>
              <w:bCs w:val="0"/>
              <w:sz w:val="24"/>
              <w:szCs w:val="24"/>
              <w:highlight w:val="none"/>
            </w:rPr>
            <w:t>国有资本经营预算支出决算情况说明</w:t>
          </w:r>
          <w:r>
            <w:rPr>
              <w:b w:val="0"/>
              <w:bCs w:val="0"/>
              <w:sz w:val="24"/>
              <w:szCs w:val="24"/>
            </w:rPr>
            <w:tab/>
          </w:r>
          <w:r>
            <w:rPr>
              <w:b w:val="0"/>
              <w:bCs w:val="0"/>
              <w:sz w:val="24"/>
              <w:szCs w:val="24"/>
            </w:rPr>
            <w:fldChar w:fldCharType="begin"/>
          </w:r>
          <w:r>
            <w:rPr>
              <w:b w:val="0"/>
              <w:bCs w:val="0"/>
              <w:sz w:val="24"/>
              <w:szCs w:val="24"/>
            </w:rPr>
            <w:instrText xml:space="preserve"> PAGEREF _Toc18109 \h </w:instrText>
          </w:r>
          <w:r>
            <w:rPr>
              <w:b w:val="0"/>
              <w:bCs w:val="0"/>
              <w:sz w:val="24"/>
              <w:szCs w:val="24"/>
            </w:rPr>
            <w:fldChar w:fldCharType="separate"/>
          </w:r>
          <w:r>
            <w:rPr>
              <w:b w:val="0"/>
              <w:bCs w:val="0"/>
              <w:sz w:val="24"/>
              <w:szCs w:val="24"/>
            </w:rPr>
            <w:t>8</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_Toc31602 </w:instrText>
          </w:r>
          <w:r>
            <w:rPr>
              <w:b w:val="0"/>
              <w:bCs w:val="0"/>
              <w:sz w:val="24"/>
              <w:szCs w:val="24"/>
            </w:rPr>
            <w:fldChar w:fldCharType="separate"/>
          </w:r>
          <w:r>
            <w:rPr>
              <w:rFonts w:hint="eastAsia" w:ascii="黑体" w:hAnsi="黑体" w:eastAsia="黑体"/>
              <w:b w:val="0"/>
              <w:bCs w:val="0"/>
              <w:sz w:val="24"/>
              <w:szCs w:val="24"/>
              <w:highlight w:val="none"/>
              <w:lang w:eastAsia="zh-CN"/>
            </w:rPr>
            <w:t>十、</w:t>
          </w:r>
          <w:r>
            <w:rPr>
              <w:rFonts w:hint="eastAsia" w:ascii="黑体" w:hAnsi="黑体" w:eastAsia="黑体"/>
              <w:b w:val="0"/>
              <w:bCs w:val="0"/>
              <w:sz w:val="24"/>
              <w:szCs w:val="24"/>
              <w:highlight w:val="none"/>
            </w:rPr>
            <w:t>其他重要事项的情况说明</w:t>
          </w:r>
          <w:r>
            <w:rPr>
              <w:b w:val="0"/>
              <w:bCs w:val="0"/>
              <w:sz w:val="24"/>
              <w:szCs w:val="24"/>
            </w:rPr>
            <w:tab/>
          </w:r>
          <w:r>
            <w:rPr>
              <w:b w:val="0"/>
              <w:bCs w:val="0"/>
              <w:sz w:val="24"/>
              <w:szCs w:val="24"/>
            </w:rPr>
            <w:fldChar w:fldCharType="begin"/>
          </w:r>
          <w:r>
            <w:rPr>
              <w:b w:val="0"/>
              <w:bCs w:val="0"/>
              <w:sz w:val="24"/>
              <w:szCs w:val="24"/>
            </w:rPr>
            <w:instrText xml:space="preserve"> PAGEREF _Toc31602 \h </w:instrText>
          </w:r>
          <w:r>
            <w:rPr>
              <w:b w:val="0"/>
              <w:bCs w:val="0"/>
              <w:sz w:val="24"/>
              <w:szCs w:val="24"/>
            </w:rPr>
            <w:fldChar w:fldCharType="separate"/>
          </w:r>
          <w:r>
            <w:rPr>
              <w:b w:val="0"/>
              <w:bCs w:val="0"/>
              <w:sz w:val="24"/>
              <w:szCs w:val="24"/>
            </w:rPr>
            <w:t>8</w:t>
          </w:r>
          <w:r>
            <w:rPr>
              <w:b w:val="0"/>
              <w:bCs w:val="0"/>
              <w:sz w:val="24"/>
              <w:szCs w:val="24"/>
            </w:rPr>
            <w:fldChar w:fldCharType="end"/>
          </w:r>
          <w:r>
            <w:rPr>
              <w:b w:val="0"/>
              <w:bCs w:val="0"/>
              <w:sz w:val="24"/>
              <w:szCs w:val="24"/>
            </w:rPr>
            <w:fldChar w:fldCharType="end"/>
          </w:r>
        </w:p>
        <w:p>
          <w:pPr>
            <w:pStyle w:val="21"/>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_Toc19882 </w:instrText>
          </w:r>
          <w:r>
            <w:rPr>
              <w:b w:val="0"/>
              <w:bCs w:val="0"/>
              <w:sz w:val="24"/>
              <w:szCs w:val="24"/>
            </w:rPr>
            <w:fldChar w:fldCharType="separate"/>
          </w:r>
          <w:r>
            <w:rPr>
              <w:rFonts w:hint="eastAsia" w:ascii="黑体" w:hAnsi="黑体" w:eastAsia="黑体" w:cs="Times New Roman"/>
              <w:b w:val="0"/>
              <w:bCs w:val="0"/>
              <w:sz w:val="24"/>
              <w:szCs w:val="24"/>
              <w:highlight w:val="none"/>
              <w:lang w:eastAsia="zh-CN"/>
            </w:rPr>
            <w:t>第三部分</w:t>
          </w:r>
          <w:r>
            <w:rPr>
              <w:rFonts w:hint="eastAsia" w:ascii="黑体" w:hAnsi="黑体" w:eastAsia="黑体" w:cs="Times New Roman"/>
              <w:b w:val="0"/>
              <w:bCs w:val="0"/>
              <w:sz w:val="24"/>
              <w:szCs w:val="24"/>
              <w:highlight w:val="none"/>
              <w:lang w:val="en-US" w:eastAsia="zh-CN"/>
            </w:rPr>
            <w:t xml:space="preserve"> </w:t>
          </w:r>
          <w:r>
            <w:rPr>
              <w:rFonts w:hint="eastAsia" w:ascii="黑体" w:hAnsi="黑体" w:eastAsia="黑体"/>
              <w:b w:val="0"/>
              <w:bCs w:val="0"/>
              <w:sz w:val="24"/>
              <w:szCs w:val="56"/>
              <w:highlight w:val="none"/>
            </w:rPr>
            <w:t>名</w:t>
          </w:r>
          <w:r>
            <w:rPr>
              <w:rFonts w:hint="eastAsia" w:ascii="黑体" w:hAnsi="黑体" w:eastAsia="黑体"/>
              <w:b w:val="0"/>
              <w:bCs w:val="0"/>
              <w:sz w:val="24"/>
              <w:szCs w:val="24"/>
              <w:highlight w:val="none"/>
            </w:rPr>
            <w:t>词解释</w:t>
          </w:r>
          <w:r>
            <w:rPr>
              <w:b w:val="0"/>
              <w:bCs w:val="0"/>
              <w:sz w:val="24"/>
              <w:szCs w:val="24"/>
            </w:rPr>
            <w:tab/>
          </w:r>
          <w:r>
            <w:rPr>
              <w:b w:val="0"/>
              <w:bCs w:val="0"/>
              <w:sz w:val="24"/>
              <w:szCs w:val="24"/>
            </w:rPr>
            <w:fldChar w:fldCharType="begin"/>
          </w:r>
          <w:r>
            <w:rPr>
              <w:b w:val="0"/>
              <w:bCs w:val="0"/>
              <w:sz w:val="24"/>
              <w:szCs w:val="24"/>
            </w:rPr>
            <w:instrText xml:space="preserve"> PAGEREF _Toc19882 \h </w:instrText>
          </w:r>
          <w:r>
            <w:rPr>
              <w:b w:val="0"/>
              <w:bCs w:val="0"/>
              <w:sz w:val="24"/>
              <w:szCs w:val="24"/>
            </w:rPr>
            <w:fldChar w:fldCharType="separate"/>
          </w:r>
          <w:r>
            <w:rPr>
              <w:b w:val="0"/>
              <w:bCs w:val="0"/>
              <w:sz w:val="24"/>
              <w:szCs w:val="24"/>
            </w:rPr>
            <w:t>10</w:t>
          </w:r>
          <w:r>
            <w:rPr>
              <w:b w:val="0"/>
              <w:bCs w:val="0"/>
              <w:sz w:val="24"/>
              <w:szCs w:val="24"/>
            </w:rPr>
            <w:fldChar w:fldCharType="end"/>
          </w:r>
          <w:r>
            <w:rPr>
              <w:b w:val="0"/>
              <w:bCs w:val="0"/>
              <w:sz w:val="24"/>
              <w:szCs w:val="24"/>
            </w:rPr>
            <w:fldChar w:fldCharType="end"/>
          </w:r>
        </w:p>
        <w:p>
          <w:pPr>
            <w:pStyle w:val="21"/>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_Toc15523 </w:instrText>
          </w:r>
          <w:r>
            <w:rPr>
              <w:b w:val="0"/>
              <w:bCs w:val="0"/>
              <w:sz w:val="24"/>
              <w:szCs w:val="24"/>
            </w:rPr>
            <w:fldChar w:fldCharType="separate"/>
          </w:r>
          <w:r>
            <w:rPr>
              <w:rFonts w:hint="eastAsia" w:ascii="黑体" w:hAnsi="黑体" w:eastAsia="黑体"/>
              <w:b w:val="0"/>
              <w:bCs w:val="0"/>
              <w:sz w:val="24"/>
              <w:szCs w:val="56"/>
              <w:highlight w:val="none"/>
            </w:rPr>
            <w:t>第</w:t>
          </w:r>
          <w:r>
            <w:rPr>
              <w:rFonts w:hint="eastAsia" w:ascii="黑体" w:hAnsi="黑体" w:eastAsia="黑体"/>
              <w:b w:val="0"/>
              <w:bCs w:val="0"/>
              <w:sz w:val="24"/>
              <w:szCs w:val="24"/>
              <w:highlight w:val="none"/>
            </w:rPr>
            <w:t>四部分 附件</w:t>
          </w:r>
          <w:r>
            <w:rPr>
              <w:b w:val="0"/>
              <w:bCs w:val="0"/>
              <w:sz w:val="24"/>
              <w:szCs w:val="24"/>
            </w:rPr>
            <w:tab/>
          </w:r>
          <w:r>
            <w:rPr>
              <w:b w:val="0"/>
              <w:bCs w:val="0"/>
              <w:sz w:val="24"/>
              <w:szCs w:val="24"/>
            </w:rPr>
            <w:fldChar w:fldCharType="begin"/>
          </w:r>
          <w:r>
            <w:rPr>
              <w:b w:val="0"/>
              <w:bCs w:val="0"/>
              <w:sz w:val="24"/>
              <w:szCs w:val="24"/>
            </w:rPr>
            <w:instrText xml:space="preserve"> PAGEREF _Toc15523 \h </w:instrText>
          </w:r>
          <w:r>
            <w:rPr>
              <w:b w:val="0"/>
              <w:bCs w:val="0"/>
              <w:sz w:val="24"/>
              <w:szCs w:val="24"/>
            </w:rPr>
            <w:fldChar w:fldCharType="separate"/>
          </w:r>
          <w:r>
            <w:rPr>
              <w:b w:val="0"/>
              <w:bCs w:val="0"/>
              <w:sz w:val="24"/>
              <w:szCs w:val="24"/>
            </w:rPr>
            <w:t>12</w:t>
          </w:r>
          <w:r>
            <w:rPr>
              <w:b w:val="0"/>
              <w:bCs w:val="0"/>
              <w:sz w:val="24"/>
              <w:szCs w:val="24"/>
            </w:rPr>
            <w:fldChar w:fldCharType="end"/>
          </w:r>
          <w:r>
            <w:rPr>
              <w:b w:val="0"/>
              <w:bCs w:val="0"/>
              <w:sz w:val="24"/>
              <w:szCs w:val="24"/>
            </w:rPr>
            <w:fldChar w:fldCharType="end"/>
          </w:r>
        </w:p>
        <w:p>
          <w:pPr>
            <w:pStyle w:val="21"/>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_Toc25666 </w:instrText>
          </w:r>
          <w:r>
            <w:rPr>
              <w:b w:val="0"/>
              <w:bCs w:val="0"/>
              <w:sz w:val="24"/>
              <w:szCs w:val="24"/>
            </w:rPr>
            <w:fldChar w:fldCharType="separate"/>
          </w:r>
          <w:r>
            <w:rPr>
              <w:rFonts w:hint="eastAsia" w:ascii="黑体" w:hAnsi="黑体" w:eastAsia="黑体"/>
              <w:b w:val="0"/>
              <w:bCs w:val="0"/>
              <w:sz w:val="24"/>
              <w:szCs w:val="24"/>
              <w:highlight w:val="none"/>
              <w:lang w:val="en-US" w:eastAsia="zh-CN"/>
            </w:rPr>
            <w:t>第五部分</w:t>
          </w:r>
          <w:r>
            <w:rPr>
              <w:rFonts w:hint="eastAsia" w:hAnsi="仿宋_GB2312" w:eastAsia="仿宋_GB2312" w:cs="仿宋_GB2312"/>
              <w:b w:val="0"/>
              <w:bCs w:val="0"/>
              <w:sz w:val="24"/>
              <w:szCs w:val="44"/>
              <w:highlight w:val="none"/>
              <w:lang w:val="en-US" w:eastAsia="zh-CN"/>
            </w:rPr>
            <w:t xml:space="preserve"> </w:t>
          </w:r>
          <w:r>
            <w:rPr>
              <w:rFonts w:hint="eastAsia" w:ascii="黑体" w:hAnsi="黑体" w:eastAsia="黑体"/>
              <w:b w:val="0"/>
              <w:bCs w:val="0"/>
              <w:sz w:val="24"/>
              <w:szCs w:val="24"/>
              <w:highlight w:val="none"/>
            </w:rPr>
            <w:t>附表</w:t>
          </w:r>
          <w:r>
            <w:rPr>
              <w:b w:val="0"/>
              <w:bCs w:val="0"/>
              <w:sz w:val="24"/>
              <w:szCs w:val="24"/>
            </w:rPr>
            <w:tab/>
          </w:r>
          <w:r>
            <w:rPr>
              <w:b w:val="0"/>
              <w:bCs w:val="0"/>
              <w:sz w:val="24"/>
              <w:szCs w:val="24"/>
            </w:rPr>
            <w:fldChar w:fldCharType="begin"/>
          </w:r>
          <w:r>
            <w:rPr>
              <w:b w:val="0"/>
              <w:bCs w:val="0"/>
              <w:sz w:val="24"/>
              <w:szCs w:val="24"/>
            </w:rPr>
            <w:instrText xml:space="preserve"> PAGEREF _Toc25666 \h </w:instrText>
          </w:r>
          <w:r>
            <w:rPr>
              <w:b w:val="0"/>
              <w:bCs w:val="0"/>
              <w:sz w:val="24"/>
              <w:szCs w:val="24"/>
            </w:rPr>
            <w:fldChar w:fldCharType="separate"/>
          </w:r>
          <w:r>
            <w:rPr>
              <w:b w:val="0"/>
              <w:bCs w:val="0"/>
              <w:sz w:val="24"/>
              <w:szCs w:val="24"/>
            </w:rPr>
            <w:t>18</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_Toc16096 </w:instrText>
          </w:r>
          <w:r>
            <w:rPr>
              <w:b w:val="0"/>
              <w:bCs w:val="0"/>
              <w:sz w:val="24"/>
              <w:szCs w:val="24"/>
            </w:rPr>
            <w:fldChar w:fldCharType="separate"/>
          </w:r>
          <w:r>
            <w:rPr>
              <w:rFonts w:hint="eastAsia" w:ascii="黑体" w:hAnsi="黑体" w:eastAsia="黑体" w:cs="黑体"/>
              <w:b w:val="0"/>
              <w:bCs w:val="0"/>
              <w:sz w:val="24"/>
              <w:szCs w:val="24"/>
              <w:highlight w:val="none"/>
            </w:rPr>
            <w:t>一、收入支出决算总表</w:t>
          </w:r>
          <w:r>
            <w:rPr>
              <w:b w:val="0"/>
              <w:bCs w:val="0"/>
              <w:sz w:val="24"/>
              <w:szCs w:val="24"/>
            </w:rPr>
            <w:tab/>
          </w:r>
          <w:r>
            <w:rPr>
              <w:b w:val="0"/>
              <w:bCs w:val="0"/>
              <w:sz w:val="24"/>
              <w:szCs w:val="24"/>
            </w:rPr>
            <w:fldChar w:fldCharType="begin"/>
          </w:r>
          <w:r>
            <w:rPr>
              <w:b w:val="0"/>
              <w:bCs w:val="0"/>
              <w:sz w:val="24"/>
              <w:szCs w:val="24"/>
            </w:rPr>
            <w:instrText xml:space="preserve"> PAGEREF _Toc16096 \h </w:instrText>
          </w:r>
          <w:r>
            <w:rPr>
              <w:b w:val="0"/>
              <w:bCs w:val="0"/>
              <w:sz w:val="24"/>
              <w:szCs w:val="24"/>
            </w:rPr>
            <w:fldChar w:fldCharType="separate"/>
          </w:r>
          <w:r>
            <w:rPr>
              <w:b w:val="0"/>
              <w:bCs w:val="0"/>
              <w:sz w:val="24"/>
              <w:szCs w:val="24"/>
            </w:rPr>
            <w:t>22</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_Toc20144 </w:instrText>
          </w:r>
          <w:r>
            <w:rPr>
              <w:b w:val="0"/>
              <w:bCs w:val="0"/>
              <w:sz w:val="24"/>
              <w:szCs w:val="24"/>
            </w:rPr>
            <w:fldChar w:fldCharType="separate"/>
          </w:r>
          <w:r>
            <w:rPr>
              <w:rFonts w:hint="eastAsia" w:ascii="黑体" w:hAnsi="黑体" w:eastAsia="黑体" w:cs="黑体"/>
              <w:b w:val="0"/>
              <w:bCs w:val="0"/>
              <w:sz w:val="24"/>
              <w:szCs w:val="24"/>
              <w:highlight w:val="none"/>
            </w:rPr>
            <w:t>二、收入决算表</w:t>
          </w:r>
          <w:r>
            <w:rPr>
              <w:b w:val="0"/>
              <w:bCs w:val="0"/>
              <w:sz w:val="24"/>
              <w:szCs w:val="24"/>
            </w:rPr>
            <w:tab/>
          </w:r>
          <w:r>
            <w:rPr>
              <w:b w:val="0"/>
              <w:bCs w:val="0"/>
              <w:sz w:val="24"/>
              <w:szCs w:val="24"/>
            </w:rPr>
            <w:fldChar w:fldCharType="begin"/>
          </w:r>
          <w:r>
            <w:rPr>
              <w:b w:val="0"/>
              <w:bCs w:val="0"/>
              <w:sz w:val="24"/>
              <w:szCs w:val="24"/>
            </w:rPr>
            <w:instrText xml:space="preserve"> PAGEREF _Toc20144 \h </w:instrText>
          </w:r>
          <w:r>
            <w:rPr>
              <w:b w:val="0"/>
              <w:bCs w:val="0"/>
              <w:sz w:val="24"/>
              <w:szCs w:val="24"/>
            </w:rPr>
            <w:fldChar w:fldCharType="separate"/>
          </w:r>
          <w:r>
            <w:rPr>
              <w:b w:val="0"/>
              <w:bCs w:val="0"/>
              <w:sz w:val="24"/>
              <w:szCs w:val="24"/>
            </w:rPr>
            <w:t>22</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_Toc28020 </w:instrText>
          </w:r>
          <w:r>
            <w:rPr>
              <w:b w:val="0"/>
              <w:bCs w:val="0"/>
              <w:sz w:val="24"/>
              <w:szCs w:val="24"/>
            </w:rPr>
            <w:fldChar w:fldCharType="separate"/>
          </w:r>
          <w:r>
            <w:rPr>
              <w:rFonts w:hint="eastAsia" w:ascii="黑体" w:hAnsi="黑体" w:eastAsia="黑体" w:cs="黑体"/>
              <w:b w:val="0"/>
              <w:bCs w:val="0"/>
              <w:sz w:val="24"/>
              <w:szCs w:val="24"/>
              <w:highlight w:val="none"/>
            </w:rPr>
            <w:t>三、支出决算表</w:t>
          </w:r>
          <w:r>
            <w:rPr>
              <w:b w:val="0"/>
              <w:bCs w:val="0"/>
              <w:sz w:val="24"/>
              <w:szCs w:val="24"/>
            </w:rPr>
            <w:tab/>
          </w:r>
          <w:r>
            <w:rPr>
              <w:b w:val="0"/>
              <w:bCs w:val="0"/>
              <w:sz w:val="24"/>
              <w:szCs w:val="24"/>
            </w:rPr>
            <w:fldChar w:fldCharType="begin"/>
          </w:r>
          <w:r>
            <w:rPr>
              <w:b w:val="0"/>
              <w:bCs w:val="0"/>
              <w:sz w:val="24"/>
              <w:szCs w:val="24"/>
            </w:rPr>
            <w:instrText xml:space="preserve"> PAGEREF _Toc28020 \h </w:instrText>
          </w:r>
          <w:r>
            <w:rPr>
              <w:b w:val="0"/>
              <w:bCs w:val="0"/>
              <w:sz w:val="24"/>
              <w:szCs w:val="24"/>
            </w:rPr>
            <w:fldChar w:fldCharType="separate"/>
          </w:r>
          <w:r>
            <w:rPr>
              <w:b w:val="0"/>
              <w:bCs w:val="0"/>
              <w:sz w:val="24"/>
              <w:szCs w:val="24"/>
            </w:rPr>
            <w:t>22</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_Toc24319 </w:instrText>
          </w:r>
          <w:r>
            <w:rPr>
              <w:b w:val="0"/>
              <w:bCs w:val="0"/>
              <w:sz w:val="24"/>
              <w:szCs w:val="24"/>
            </w:rPr>
            <w:fldChar w:fldCharType="separate"/>
          </w:r>
          <w:r>
            <w:rPr>
              <w:rFonts w:hint="eastAsia" w:ascii="黑体" w:hAnsi="黑体" w:eastAsia="黑体" w:cs="黑体"/>
              <w:b w:val="0"/>
              <w:bCs w:val="0"/>
              <w:sz w:val="24"/>
              <w:szCs w:val="24"/>
              <w:highlight w:val="none"/>
            </w:rPr>
            <w:t>四、财政拨款收入支出决算总表</w:t>
          </w:r>
          <w:r>
            <w:rPr>
              <w:b w:val="0"/>
              <w:bCs w:val="0"/>
              <w:sz w:val="24"/>
              <w:szCs w:val="24"/>
            </w:rPr>
            <w:tab/>
          </w:r>
          <w:r>
            <w:rPr>
              <w:b w:val="0"/>
              <w:bCs w:val="0"/>
              <w:sz w:val="24"/>
              <w:szCs w:val="24"/>
            </w:rPr>
            <w:fldChar w:fldCharType="begin"/>
          </w:r>
          <w:r>
            <w:rPr>
              <w:b w:val="0"/>
              <w:bCs w:val="0"/>
              <w:sz w:val="24"/>
              <w:szCs w:val="24"/>
            </w:rPr>
            <w:instrText xml:space="preserve"> PAGEREF _Toc24319 \h </w:instrText>
          </w:r>
          <w:r>
            <w:rPr>
              <w:b w:val="0"/>
              <w:bCs w:val="0"/>
              <w:sz w:val="24"/>
              <w:szCs w:val="24"/>
            </w:rPr>
            <w:fldChar w:fldCharType="separate"/>
          </w:r>
          <w:r>
            <w:rPr>
              <w:b w:val="0"/>
              <w:bCs w:val="0"/>
              <w:sz w:val="24"/>
              <w:szCs w:val="24"/>
            </w:rPr>
            <w:t>22</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_Toc14221 </w:instrText>
          </w:r>
          <w:r>
            <w:rPr>
              <w:b w:val="0"/>
              <w:bCs w:val="0"/>
              <w:sz w:val="24"/>
              <w:szCs w:val="24"/>
            </w:rPr>
            <w:fldChar w:fldCharType="separate"/>
          </w:r>
          <w:r>
            <w:rPr>
              <w:rFonts w:hint="eastAsia" w:ascii="黑体" w:hAnsi="黑体" w:eastAsia="黑体" w:cs="黑体"/>
              <w:b w:val="0"/>
              <w:bCs w:val="0"/>
              <w:sz w:val="24"/>
              <w:szCs w:val="24"/>
              <w:highlight w:val="none"/>
            </w:rPr>
            <w:t>五、财政拨款支出决算明细表</w:t>
          </w:r>
          <w:r>
            <w:rPr>
              <w:b w:val="0"/>
              <w:bCs w:val="0"/>
              <w:sz w:val="24"/>
              <w:szCs w:val="24"/>
            </w:rPr>
            <w:tab/>
          </w:r>
          <w:r>
            <w:rPr>
              <w:b w:val="0"/>
              <w:bCs w:val="0"/>
              <w:sz w:val="24"/>
              <w:szCs w:val="24"/>
            </w:rPr>
            <w:fldChar w:fldCharType="begin"/>
          </w:r>
          <w:r>
            <w:rPr>
              <w:b w:val="0"/>
              <w:bCs w:val="0"/>
              <w:sz w:val="24"/>
              <w:szCs w:val="24"/>
            </w:rPr>
            <w:instrText xml:space="preserve"> PAGEREF _Toc14221 \h </w:instrText>
          </w:r>
          <w:r>
            <w:rPr>
              <w:b w:val="0"/>
              <w:bCs w:val="0"/>
              <w:sz w:val="24"/>
              <w:szCs w:val="24"/>
            </w:rPr>
            <w:fldChar w:fldCharType="separate"/>
          </w:r>
          <w:r>
            <w:rPr>
              <w:b w:val="0"/>
              <w:bCs w:val="0"/>
              <w:sz w:val="24"/>
              <w:szCs w:val="24"/>
            </w:rPr>
            <w:t>22</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_Toc8775 </w:instrText>
          </w:r>
          <w:r>
            <w:rPr>
              <w:b w:val="0"/>
              <w:bCs w:val="0"/>
              <w:sz w:val="24"/>
              <w:szCs w:val="24"/>
            </w:rPr>
            <w:fldChar w:fldCharType="separate"/>
          </w:r>
          <w:r>
            <w:rPr>
              <w:rFonts w:hint="eastAsia" w:ascii="黑体" w:hAnsi="黑体" w:eastAsia="黑体" w:cs="黑体"/>
              <w:b w:val="0"/>
              <w:bCs w:val="0"/>
              <w:sz w:val="24"/>
              <w:szCs w:val="24"/>
              <w:highlight w:val="none"/>
            </w:rPr>
            <w:t>六、一般公共预算财政拨款支出决算表</w:t>
          </w:r>
          <w:r>
            <w:rPr>
              <w:b w:val="0"/>
              <w:bCs w:val="0"/>
              <w:sz w:val="24"/>
              <w:szCs w:val="24"/>
            </w:rPr>
            <w:tab/>
          </w:r>
          <w:r>
            <w:rPr>
              <w:b w:val="0"/>
              <w:bCs w:val="0"/>
              <w:sz w:val="24"/>
              <w:szCs w:val="24"/>
            </w:rPr>
            <w:fldChar w:fldCharType="begin"/>
          </w:r>
          <w:r>
            <w:rPr>
              <w:b w:val="0"/>
              <w:bCs w:val="0"/>
              <w:sz w:val="24"/>
              <w:szCs w:val="24"/>
            </w:rPr>
            <w:instrText xml:space="preserve"> PAGEREF _Toc8775 \h </w:instrText>
          </w:r>
          <w:r>
            <w:rPr>
              <w:b w:val="0"/>
              <w:bCs w:val="0"/>
              <w:sz w:val="24"/>
              <w:szCs w:val="24"/>
            </w:rPr>
            <w:fldChar w:fldCharType="separate"/>
          </w:r>
          <w:r>
            <w:rPr>
              <w:b w:val="0"/>
              <w:bCs w:val="0"/>
              <w:sz w:val="24"/>
              <w:szCs w:val="24"/>
            </w:rPr>
            <w:t>22</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_Toc20761 </w:instrText>
          </w:r>
          <w:r>
            <w:rPr>
              <w:b w:val="0"/>
              <w:bCs w:val="0"/>
              <w:sz w:val="24"/>
              <w:szCs w:val="24"/>
            </w:rPr>
            <w:fldChar w:fldCharType="separate"/>
          </w:r>
          <w:r>
            <w:rPr>
              <w:rFonts w:hint="eastAsia" w:ascii="黑体" w:hAnsi="黑体" w:eastAsia="黑体" w:cs="黑体"/>
              <w:b w:val="0"/>
              <w:bCs w:val="0"/>
              <w:sz w:val="24"/>
              <w:szCs w:val="24"/>
              <w:highlight w:val="none"/>
            </w:rPr>
            <w:t>七、一般公共预算财政拨款支出决算明细表</w:t>
          </w:r>
          <w:r>
            <w:rPr>
              <w:b w:val="0"/>
              <w:bCs w:val="0"/>
              <w:sz w:val="24"/>
              <w:szCs w:val="24"/>
            </w:rPr>
            <w:tab/>
          </w:r>
          <w:r>
            <w:rPr>
              <w:b w:val="0"/>
              <w:bCs w:val="0"/>
              <w:sz w:val="24"/>
              <w:szCs w:val="24"/>
            </w:rPr>
            <w:fldChar w:fldCharType="begin"/>
          </w:r>
          <w:r>
            <w:rPr>
              <w:b w:val="0"/>
              <w:bCs w:val="0"/>
              <w:sz w:val="24"/>
              <w:szCs w:val="24"/>
            </w:rPr>
            <w:instrText xml:space="preserve"> PAGEREF _Toc20761 \h </w:instrText>
          </w:r>
          <w:r>
            <w:rPr>
              <w:b w:val="0"/>
              <w:bCs w:val="0"/>
              <w:sz w:val="24"/>
              <w:szCs w:val="24"/>
            </w:rPr>
            <w:fldChar w:fldCharType="separate"/>
          </w:r>
          <w:r>
            <w:rPr>
              <w:b w:val="0"/>
              <w:bCs w:val="0"/>
              <w:sz w:val="24"/>
              <w:szCs w:val="24"/>
            </w:rPr>
            <w:t>22</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_Toc21267 </w:instrText>
          </w:r>
          <w:r>
            <w:rPr>
              <w:b w:val="0"/>
              <w:bCs w:val="0"/>
              <w:sz w:val="24"/>
              <w:szCs w:val="24"/>
            </w:rPr>
            <w:fldChar w:fldCharType="separate"/>
          </w:r>
          <w:r>
            <w:rPr>
              <w:rFonts w:hint="eastAsia" w:ascii="黑体" w:hAnsi="黑体" w:eastAsia="黑体" w:cs="黑体"/>
              <w:b w:val="0"/>
              <w:bCs w:val="0"/>
              <w:sz w:val="24"/>
              <w:szCs w:val="24"/>
              <w:highlight w:val="none"/>
            </w:rPr>
            <w:t>八、一般公共预算财政拨款基本支出决算表</w:t>
          </w:r>
          <w:r>
            <w:rPr>
              <w:b w:val="0"/>
              <w:bCs w:val="0"/>
              <w:sz w:val="24"/>
              <w:szCs w:val="24"/>
            </w:rPr>
            <w:tab/>
          </w:r>
          <w:r>
            <w:rPr>
              <w:b w:val="0"/>
              <w:bCs w:val="0"/>
              <w:sz w:val="24"/>
              <w:szCs w:val="24"/>
            </w:rPr>
            <w:fldChar w:fldCharType="begin"/>
          </w:r>
          <w:r>
            <w:rPr>
              <w:b w:val="0"/>
              <w:bCs w:val="0"/>
              <w:sz w:val="24"/>
              <w:szCs w:val="24"/>
            </w:rPr>
            <w:instrText xml:space="preserve"> PAGEREF _Toc21267 \h </w:instrText>
          </w:r>
          <w:r>
            <w:rPr>
              <w:b w:val="0"/>
              <w:bCs w:val="0"/>
              <w:sz w:val="24"/>
              <w:szCs w:val="24"/>
            </w:rPr>
            <w:fldChar w:fldCharType="separate"/>
          </w:r>
          <w:r>
            <w:rPr>
              <w:b w:val="0"/>
              <w:bCs w:val="0"/>
              <w:sz w:val="24"/>
              <w:szCs w:val="24"/>
            </w:rPr>
            <w:t>22</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_Toc20356 </w:instrText>
          </w:r>
          <w:r>
            <w:rPr>
              <w:b w:val="0"/>
              <w:bCs w:val="0"/>
              <w:sz w:val="24"/>
              <w:szCs w:val="24"/>
            </w:rPr>
            <w:fldChar w:fldCharType="separate"/>
          </w:r>
          <w:r>
            <w:rPr>
              <w:rFonts w:hint="eastAsia" w:ascii="黑体" w:hAnsi="黑体" w:eastAsia="黑体" w:cs="黑体"/>
              <w:b w:val="0"/>
              <w:bCs w:val="0"/>
              <w:sz w:val="24"/>
              <w:szCs w:val="24"/>
              <w:highlight w:val="none"/>
            </w:rPr>
            <w:t>九、一般公共预算财政拨款项目支出决算表</w:t>
          </w:r>
          <w:r>
            <w:rPr>
              <w:b w:val="0"/>
              <w:bCs w:val="0"/>
              <w:sz w:val="24"/>
              <w:szCs w:val="24"/>
            </w:rPr>
            <w:tab/>
          </w:r>
          <w:r>
            <w:rPr>
              <w:b w:val="0"/>
              <w:bCs w:val="0"/>
              <w:sz w:val="24"/>
              <w:szCs w:val="24"/>
            </w:rPr>
            <w:fldChar w:fldCharType="begin"/>
          </w:r>
          <w:r>
            <w:rPr>
              <w:b w:val="0"/>
              <w:bCs w:val="0"/>
              <w:sz w:val="24"/>
              <w:szCs w:val="24"/>
            </w:rPr>
            <w:instrText xml:space="preserve"> PAGEREF _Toc20356 \h </w:instrText>
          </w:r>
          <w:r>
            <w:rPr>
              <w:b w:val="0"/>
              <w:bCs w:val="0"/>
              <w:sz w:val="24"/>
              <w:szCs w:val="24"/>
            </w:rPr>
            <w:fldChar w:fldCharType="separate"/>
          </w:r>
          <w:r>
            <w:rPr>
              <w:b w:val="0"/>
              <w:bCs w:val="0"/>
              <w:sz w:val="24"/>
              <w:szCs w:val="24"/>
            </w:rPr>
            <w:t>22</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_Toc2559 </w:instrText>
          </w:r>
          <w:r>
            <w:rPr>
              <w:b w:val="0"/>
              <w:bCs w:val="0"/>
              <w:sz w:val="24"/>
              <w:szCs w:val="24"/>
            </w:rPr>
            <w:fldChar w:fldCharType="separate"/>
          </w:r>
          <w:r>
            <w:rPr>
              <w:rFonts w:hint="eastAsia" w:ascii="黑体" w:hAnsi="黑体" w:eastAsia="黑体" w:cs="黑体"/>
              <w:b w:val="0"/>
              <w:bCs w:val="0"/>
              <w:sz w:val="24"/>
              <w:szCs w:val="24"/>
              <w:highlight w:val="none"/>
            </w:rPr>
            <w:t>十、政府性基金预算财政拨款收入支出决算表</w:t>
          </w:r>
          <w:r>
            <w:rPr>
              <w:b w:val="0"/>
              <w:bCs w:val="0"/>
              <w:sz w:val="24"/>
              <w:szCs w:val="24"/>
            </w:rPr>
            <w:tab/>
          </w:r>
          <w:r>
            <w:rPr>
              <w:b w:val="0"/>
              <w:bCs w:val="0"/>
              <w:sz w:val="24"/>
              <w:szCs w:val="24"/>
            </w:rPr>
            <w:fldChar w:fldCharType="begin"/>
          </w:r>
          <w:r>
            <w:rPr>
              <w:b w:val="0"/>
              <w:bCs w:val="0"/>
              <w:sz w:val="24"/>
              <w:szCs w:val="24"/>
            </w:rPr>
            <w:instrText xml:space="preserve"> PAGEREF _Toc2559 \h </w:instrText>
          </w:r>
          <w:r>
            <w:rPr>
              <w:b w:val="0"/>
              <w:bCs w:val="0"/>
              <w:sz w:val="24"/>
              <w:szCs w:val="24"/>
            </w:rPr>
            <w:fldChar w:fldCharType="separate"/>
          </w:r>
          <w:r>
            <w:rPr>
              <w:b w:val="0"/>
              <w:bCs w:val="0"/>
              <w:sz w:val="24"/>
              <w:szCs w:val="24"/>
            </w:rPr>
            <w:t>22</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_Toc26198 </w:instrText>
          </w:r>
          <w:r>
            <w:rPr>
              <w:b w:val="0"/>
              <w:bCs w:val="0"/>
              <w:sz w:val="24"/>
              <w:szCs w:val="24"/>
            </w:rPr>
            <w:fldChar w:fldCharType="separate"/>
          </w:r>
          <w:r>
            <w:rPr>
              <w:rFonts w:hint="eastAsia" w:ascii="黑体" w:hAnsi="黑体" w:eastAsia="黑体" w:cs="黑体"/>
              <w:b w:val="0"/>
              <w:bCs w:val="0"/>
              <w:sz w:val="24"/>
              <w:szCs w:val="24"/>
              <w:highlight w:val="none"/>
            </w:rPr>
            <w:t>十一、国有资本经营预算</w:t>
          </w:r>
          <w:r>
            <w:rPr>
              <w:rFonts w:hint="eastAsia" w:ascii="黑体" w:hAnsi="黑体" w:eastAsia="黑体" w:cs="黑体"/>
              <w:b w:val="0"/>
              <w:bCs w:val="0"/>
              <w:sz w:val="24"/>
              <w:szCs w:val="24"/>
              <w:highlight w:val="none"/>
              <w:lang w:eastAsia="zh-CN"/>
            </w:rPr>
            <w:t>财政拨款收入</w:t>
          </w:r>
          <w:r>
            <w:rPr>
              <w:rFonts w:hint="eastAsia" w:ascii="黑体" w:hAnsi="黑体" w:eastAsia="黑体" w:cs="黑体"/>
              <w:b w:val="0"/>
              <w:bCs w:val="0"/>
              <w:sz w:val="24"/>
              <w:szCs w:val="24"/>
              <w:highlight w:val="none"/>
            </w:rPr>
            <w:t>支出决算表</w:t>
          </w:r>
          <w:r>
            <w:rPr>
              <w:b w:val="0"/>
              <w:bCs w:val="0"/>
              <w:sz w:val="24"/>
              <w:szCs w:val="24"/>
            </w:rPr>
            <w:tab/>
          </w:r>
          <w:r>
            <w:rPr>
              <w:b w:val="0"/>
              <w:bCs w:val="0"/>
              <w:sz w:val="24"/>
              <w:szCs w:val="24"/>
            </w:rPr>
            <w:fldChar w:fldCharType="begin"/>
          </w:r>
          <w:r>
            <w:rPr>
              <w:b w:val="0"/>
              <w:bCs w:val="0"/>
              <w:sz w:val="24"/>
              <w:szCs w:val="24"/>
            </w:rPr>
            <w:instrText xml:space="preserve"> PAGEREF _Toc26198 \h </w:instrText>
          </w:r>
          <w:r>
            <w:rPr>
              <w:b w:val="0"/>
              <w:bCs w:val="0"/>
              <w:sz w:val="24"/>
              <w:szCs w:val="24"/>
            </w:rPr>
            <w:fldChar w:fldCharType="separate"/>
          </w:r>
          <w:r>
            <w:rPr>
              <w:b w:val="0"/>
              <w:bCs w:val="0"/>
              <w:sz w:val="24"/>
              <w:szCs w:val="24"/>
            </w:rPr>
            <w:t>22</w:t>
          </w:r>
          <w:r>
            <w:rPr>
              <w:b w:val="0"/>
              <w:bCs w:val="0"/>
              <w:sz w:val="24"/>
              <w:szCs w:val="24"/>
            </w:rPr>
            <w:fldChar w:fldCharType="end"/>
          </w:r>
          <w:r>
            <w:rPr>
              <w:b w:val="0"/>
              <w:bCs w:val="0"/>
              <w:sz w:val="24"/>
              <w:szCs w:val="24"/>
            </w:rPr>
            <w:fldChar w:fldCharType="end"/>
          </w:r>
        </w:p>
        <w:p>
          <w:pPr>
            <w:pStyle w:val="22"/>
            <w:tabs>
              <w:tab w:val="right" w:leader="dot" w:pos="8845"/>
            </w:tabs>
            <w:rPr>
              <w:b w:val="0"/>
              <w:bCs w:val="0"/>
              <w:sz w:val="24"/>
              <w:szCs w:val="24"/>
            </w:rPr>
          </w:pPr>
          <w:r>
            <w:rPr>
              <w:b w:val="0"/>
              <w:bCs w:val="0"/>
              <w:sz w:val="24"/>
              <w:szCs w:val="24"/>
            </w:rPr>
            <w:fldChar w:fldCharType="begin"/>
          </w:r>
          <w:r>
            <w:rPr>
              <w:b w:val="0"/>
              <w:bCs w:val="0"/>
              <w:sz w:val="24"/>
              <w:szCs w:val="24"/>
            </w:rPr>
            <w:instrText xml:space="preserve"> HYPERLINK \l _Toc7271 </w:instrText>
          </w:r>
          <w:r>
            <w:rPr>
              <w:b w:val="0"/>
              <w:bCs w:val="0"/>
              <w:sz w:val="24"/>
              <w:szCs w:val="24"/>
            </w:rPr>
            <w:fldChar w:fldCharType="separate"/>
          </w:r>
          <w:r>
            <w:rPr>
              <w:rFonts w:hint="eastAsia" w:ascii="黑体" w:hAnsi="黑体" w:eastAsia="黑体" w:cs="黑体"/>
              <w:b w:val="0"/>
              <w:bCs w:val="0"/>
              <w:sz w:val="24"/>
              <w:szCs w:val="24"/>
              <w:highlight w:val="none"/>
            </w:rPr>
            <w:t>十二、</w:t>
          </w:r>
          <w:r>
            <w:rPr>
              <w:rFonts w:hint="eastAsia" w:ascii="黑体" w:hAnsi="黑体" w:eastAsia="黑体" w:cs="黑体"/>
              <w:b w:val="0"/>
              <w:bCs w:val="0"/>
              <w:sz w:val="24"/>
              <w:szCs w:val="24"/>
              <w:highlight w:val="none"/>
              <w:lang w:eastAsia="zh-CN"/>
            </w:rPr>
            <w:t>国有资本经营预算财政拨款支出决算表</w:t>
          </w:r>
          <w:r>
            <w:rPr>
              <w:b w:val="0"/>
              <w:bCs w:val="0"/>
              <w:sz w:val="24"/>
              <w:szCs w:val="24"/>
            </w:rPr>
            <w:tab/>
          </w:r>
          <w:r>
            <w:rPr>
              <w:b w:val="0"/>
              <w:bCs w:val="0"/>
              <w:sz w:val="24"/>
              <w:szCs w:val="24"/>
            </w:rPr>
            <w:fldChar w:fldCharType="begin"/>
          </w:r>
          <w:r>
            <w:rPr>
              <w:b w:val="0"/>
              <w:bCs w:val="0"/>
              <w:sz w:val="24"/>
              <w:szCs w:val="24"/>
            </w:rPr>
            <w:instrText xml:space="preserve"> PAGEREF _Toc7271 \h </w:instrText>
          </w:r>
          <w:r>
            <w:rPr>
              <w:b w:val="0"/>
              <w:bCs w:val="0"/>
              <w:sz w:val="24"/>
              <w:szCs w:val="24"/>
            </w:rPr>
            <w:fldChar w:fldCharType="separate"/>
          </w:r>
          <w:r>
            <w:rPr>
              <w:b w:val="0"/>
              <w:bCs w:val="0"/>
              <w:sz w:val="24"/>
              <w:szCs w:val="24"/>
            </w:rPr>
            <w:t>22</w:t>
          </w:r>
          <w:r>
            <w:rPr>
              <w:b w:val="0"/>
              <w:bCs w:val="0"/>
              <w:sz w:val="24"/>
              <w:szCs w:val="24"/>
            </w:rPr>
            <w:fldChar w:fldCharType="end"/>
          </w:r>
          <w:r>
            <w:rPr>
              <w:b w:val="0"/>
              <w:bCs w:val="0"/>
              <w:sz w:val="24"/>
              <w:szCs w:val="24"/>
            </w:rPr>
            <w:fldChar w:fldCharType="end"/>
          </w:r>
        </w:p>
        <w:p>
          <w:pPr>
            <w:pStyle w:val="22"/>
            <w:tabs>
              <w:tab w:val="right" w:leader="dot" w:pos="8845"/>
            </w:tabs>
            <w:rPr>
              <w:b w:val="0"/>
              <w:bCs w:val="0"/>
            </w:rPr>
          </w:pPr>
          <w:r>
            <w:rPr>
              <w:b w:val="0"/>
              <w:bCs w:val="0"/>
              <w:sz w:val="24"/>
              <w:szCs w:val="24"/>
            </w:rPr>
            <w:fldChar w:fldCharType="begin"/>
          </w:r>
          <w:r>
            <w:rPr>
              <w:b w:val="0"/>
              <w:bCs w:val="0"/>
              <w:sz w:val="24"/>
              <w:szCs w:val="24"/>
            </w:rPr>
            <w:instrText xml:space="preserve"> HYPERLINK \l _Toc3494 </w:instrText>
          </w:r>
          <w:r>
            <w:rPr>
              <w:b w:val="0"/>
              <w:bCs w:val="0"/>
              <w:sz w:val="24"/>
              <w:szCs w:val="24"/>
            </w:rPr>
            <w:fldChar w:fldCharType="separate"/>
          </w:r>
          <w:r>
            <w:rPr>
              <w:rFonts w:hint="eastAsia" w:ascii="黑体" w:hAnsi="黑体" w:eastAsia="黑体" w:cs="黑体"/>
              <w:b w:val="0"/>
              <w:bCs w:val="0"/>
              <w:sz w:val="24"/>
              <w:szCs w:val="24"/>
              <w:highlight w:val="none"/>
            </w:rPr>
            <w:t>十三、</w:t>
          </w:r>
          <w:r>
            <w:rPr>
              <w:rFonts w:hint="eastAsia" w:ascii="黑体" w:hAnsi="黑体" w:eastAsia="黑体" w:cs="黑体"/>
              <w:b w:val="0"/>
              <w:bCs w:val="0"/>
              <w:sz w:val="24"/>
              <w:szCs w:val="24"/>
              <w:highlight w:val="none"/>
              <w:lang w:eastAsia="zh-CN"/>
            </w:rPr>
            <w:t>财政拨款“三公”经费支出决算表</w:t>
          </w:r>
          <w:r>
            <w:rPr>
              <w:b w:val="0"/>
              <w:bCs w:val="0"/>
              <w:sz w:val="24"/>
              <w:szCs w:val="24"/>
            </w:rPr>
            <w:tab/>
          </w:r>
          <w:r>
            <w:rPr>
              <w:b w:val="0"/>
              <w:bCs w:val="0"/>
              <w:sz w:val="24"/>
              <w:szCs w:val="24"/>
            </w:rPr>
            <w:fldChar w:fldCharType="begin"/>
          </w:r>
          <w:r>
            <w:rPr>
              <w:b w:val="0"/>
              <w:bCs w:val="0"/>
              <w:sz w:val="24"/>
              <w:szCs w:val="24"/>
            </w:rPr>
            <w:instrText xml:space="preserve"> PAGEREF _Toc3494 \h </w:instrText>
          </w:r>
          <w:r>
            <w:rPr>
              <w:b w:val="0"/>
              <w:bCs w:val="0"/>
              <w:sz w:val="24"/>
              <w:szCs w:val="24"/>
            </w:rPr>
            <w:fldChar w:fldCharType="separate"/>
          </w:r>
          <w:r>
            <w:rPr>
              <w:b w:val="0"/>
              <w:bCs w:val="0"/>
              <w:sz w:val="24"/>
              <w:szCs w:val="24"/>
            </w:rPr>
            <w:t>22</w:t>
          </w:r>
          <w:r>
            <w:rPr>
              <w:b w:val="0"/>
              <w:bCs w:val="0"/>
              <w:sz w:val="24"/>
              <w:szCs w:val="24"/>
            </w:rPr>
            <w:fldChar w:fldCharType="end"/>
          </w:r>
          <w:r>
            <w:rPr>
              <w:b w:val="0"/>
              <w:bCs w:val="0"/>
              <w:sz w:val="24"/>
              <w:szCs w:val="24"/>
            </w:rPr>
            <w:fldChar w:fldCharType="end"/>
          </w:r>
        </w:p>
        <w:p>
          <w:r>
            <w:rPr>
              <w:b w:val="0"/>
              <w:bCs w:val="0"/>
            </w:rPr>
            <w:fldChar w:fldCharType="end"/>
          </w:r>
        </w:p>
      </w:sdtContent>
    </w:sdt>
    <w:p>
      <w:pPr>
        <w:pageBreakBefore w:val="0"/>
        <w:widowControl/>
        <w:kinsoku/>
        <w:wordWrap/>
        <w:overflowPunct/>
        <w:topLinePunct w:val="0"/>
        <w:bidi w:val="0"/>
        <w:spacing w:line="560" w:lineRule="exact"/>
        <w:ind w:left="0" w:leftChars="0" w:right="0"/>
        <w:jc w:val="center"/>
        <w:textAlignment w:val="auto"/>
        <w:outlineLvl w:val="0"/>
        <w:rPr>
          <w:rStyle w:val="17"/>
          <w:rFonts w:hint="eastAsia" w:ascii="黑体" w:hAnsi="黑体" w:eastAsia="黑体" w:cs="Times New Roman"/>
          <w:b w:val="0"/>
          <w:bCs w:val="0"/>
          <w:color w:val="auto"/>
          <w:highlight w:val="none"/>
        </w:rPr>
        <w:sectPr>
          <w:footerReference r:id="rId7" w:type="default"/>
          <w:pgSz w:w="11906" w:h="16838"/>
          <w:pgMar w:top="1440" w:right="1474" w:bottom="1440" w:left="1587" w:header="851" w:footer="992" w:gutter="0"/>
          <w:pgNumType w:fmt="decimal" w:start="1"/>
          <w:cols w:space="720" w:num="1"/>
          <w:docGrid w:type="lines" w:linePitch="312" w:charSpace="0"/>
        </w:sectPr>
      </w:pPr>
      <w:bookmarkStart w:id="7" w:name="_Toc19888"/>
    </w:p>
    <w:p>
      <w:pPr>
        <w:pageBreakBefore w:val="0"/>
        <w:widowControl/>
        <w:kinsoku/>
        <w:wordWrap/>
        <w:overflowPunct/>
        <w:topLinePunct w:val="0"/>
        <w:bidi w:val="0"/>
        <w:spacing w:line="560" w:lineRule="exact"/>
        <w:ind w:left="0" w:leftChars="0" w:right="0"/>
        <w:jc w:val="center"/>
        <w:textAlignment w:val="auto"/>
        <w:outlineLvl w:val="0"/>
        <w:rPr>
          <w:rStyle w:val="17"/>
          <w:rFonts w:ascii="黑体" w:hAnsi="黑体" w:eastAsia="黑体"/>
          <w:b/>
          <w:bCs w:val="0"/>
          <w:color w:val="auto"/>
          <w:highlight w:val="none"/>
        </w:rPr>
      </w:pPr>
      <w:r>
        <w:rPr>
          <w:rStyle w:val="17"/>
          <w:rFonts w:hint="eastAsia" w:ascii="黑体" w:hAnsi="黑体" w:eastAsia="黑体" w:cs="Times New Roman"/>
          <w:b w:val="0"/>
          <w:bCs w:val="0"/>
          <w:color w:val="auto"/>
          <w:highlight w:val="none"/>
        </w:rPr>
        <w:t xml:space="preserve">第一部分 </w:t>
      </w:r>
      <w:r>
        <w:rPr>
          <w:rStyle w:val="17"/>
          <w:rFonts w:hint="eastAsia" w:ascii="黑体" w:hAnsi="黑体" w:eastAsia="黑体"/>
          <w:b w:val="0"/>
          <w:bCs w:val="0"/>
          <w:color w:val="auto"/>
          <w:highlight w:val="none"/>
        </w:rPr>
        <w:t>部门概况</w:t>
      </w:r>
      <w:bookmarkEnd w:id="7"/>
    </w:p>
    <w:p>
      <w:pPr>
        <w:pageBreakBefore w:val="0"/>
        <w:widowControl/>
        <w:kinsoku/>
        <w:wordWrap/>
        <w:overflowPunct/>
        <w:topLinePunct w:val="0"/>
        <w:bidi w:val="0"/>
        <w:spacing w:line="560" w:lineRule="exact"/>
        <w:ind w:left="0" w:leftChars="0" w:right="0"/>
        <w:jc w:val="left"/>
        <w:textAlignment w:val="auto"/>
        <w:rPr>
          <w:rFonts w:ascii="黑体" w:eastAsia="黑体"/>
          <w:color w:val="auto"/>
          <w:sz w:val="32"/>
          <w:szCs w:val="32"/>
          <w:highlight w:val="none"/>
        </w:rPr>
      </w:pPr>
    </w:p>
    <w:p>
      <w:pPr>
        <w:pStyle w:val="4"/>
        <w:pageBreakBefore w:val="0"/>
        <w:numPr>
          <w:ilvl w:val="0"/>
          <w:numId w:val="0"/>
        </w:numPr>
        <w:kinsoku/>
        <w:wordWrap/>
        <w:overflowPunct/>
        <w:topLinePunct w:val="0"/>
        <w:bidi w:val="0"/>
        <w:spacing w:before="0" w:after="0" w:line="560" w:lineRule="exact"/>
        <w:ind w:right="0" w:rightChars="0" w:firstLine="640" w:firstLineChars="200"/>
        <w:textAlignment w:val="auto"/>
        <w:rPr>
          <w:rFonts w:hint="eastAsia" w:ascii="黑体" w:hAnsi="黑体" w:eastAsia="黑体"/>
          <w:b w:val="0"/>
          <w:color w:val="auto"/>
          <w:highlight w:val="none"/>
          <w:lang w:eastAsia="zh-CN"/>
        </w:rPr>
      </w:pPr>
      <w:bookmarkStart w:id="8" w:name="_Toc11981"/>
      <w:r>
        <w:rPr>
          <w:rFonts w:hint="eastAsia" w:ascii="黑体" w:hAnsi="黑体" w:eastAsia="黑体"/>
          <w:b w:val="0"/>
          <w:color w:val="auto"/>
          <w:highlight w:val="none"/>
          <w:lang w:eastAsia="zh-CN"/>
        </w:rPr>
        <w:t>一、部门职责</w:t>
      </w:r>
      <w:bookmarkEnd w:id="8"/>
    </w:p>
    <w:p>
      <w:pPr>
        <w:numPr>
          <w:ilvl w:val="0"/>
          <w:numId w:val="0"/>
        </w:numPr>
        <w:ind w:firstLine="640" w:firstLineChars="200"/>
        <w:rPr>
          <w:rFonts w:hint="eastAsia"/>
          <w:lang w:eastAsia="zh-CN"/>
        </w:rPr>
      </w:pPr>
      <w:r>
        <w:rPr>
          <w:rFonts w:hint="eastAsia" w:ascii="仿宋_GB2312" w:hAnsi="仿宋_GB2312" w:eastAsia="仿宋_GB2312" w:cs="仿宋_GB2312"/>
          <w:sz w:val="32"/>
          <w:szCs w:val="32"/>
        </w:rPr>
        <w:t>贯彻落实党的路线方针政策和有关档案管理的法律、法规、规章制度，做好档案“收、管、用”，维护档案完整与安全，保守党和国家秘密。依法接收市级各机关、团体、事业单位、国有企业及其下属单位的档案；</w:t>
      </w:r>
      <w:r>
        <w:rPr>
          <w:rFonts w:hint="eastAsia" w:ascii="仿宋_GB2312" w:hAnsi="仿宋_GB2312" w:eastAsia="仿宋_GB2312" w:cs="仿宋_GB2312"/>
          <w:sz w:val="32"/>
          <w:szCs w:val="32"/>
          <w:lang w:eastAsia="zh-CN"/>
        </w:rPr>
        <w:t>接收</w:t>
      </w:r>
      <w:r>
        <w:rPr>
          <w:rFonts w:hint="eastAsia" w:ascii="仿宋_GB2312" w:hAnsi="仿宋_GB2312" w:eastAsia="仿宋_GB2312" w:cs="仿宋_GB2312"/>
          <w:sz w:val="32"/>
          <w:szCs w:val="32"/>
        </w:rPr>
        <w:t>市级重大活动等形成的档案；征集对国家和社会具有长久保存价值的重要档案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资料，开展主动建档存史工作。组织实施馆藏档案整理、鉴定、保管、保护、解密、划控、开放和销毁工作。负责馆藏档案信息化，</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数字档案馆</w:t>
      </w:r>
      <w:r>
        <w:rPr>
          <w:rFonts w:hint="eastAsia" w:ascii="仿宋_GB2312" w:hAnsi="仿宋_GB2312" w:eastAsia="仿宋_GB2312" w:cs="仿宋_GB2312"/>
          <w:sz w:val="32"/>
          <w:szCs w:val="32"/>
          <w:lang w:eastAsia="zh-CN"/>
        </w:rPr>
        <w:t>试点相关工作</w:t>
      </w:r>
      <w:r>
        <w:rPr>
          <w:rFonts w:hint="eastAsia" w:ascii="仿宋_GB2312" w:hAnsi="仿宋_GB2312" w:eastAsia="仿宋_GB2312" w:cs="仿宋_GB2312"/>
          <w:sz w:val="32"/>
          <w:szCs w:val="32"/>
        </w:rPr>
        <w:t>和市级档案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资料目录中心建设，依法接收电子档案，建立电子文件备份中心，</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数字档案资源安全。开展档案利用工作，依法向社会提供档案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和已公开的现行文件，开展民生档案等跨馆查档服务。负责馆藏档案资源开发工作，开展档案资政服务，编研档案史料，开发档案文化产品，举办档案展览，建设管理爱国主义教育基地，开展档案社会宣传教育。</w:t>
      </w:r>
      <w:r>
        <w:rPr>
          <w:rFonts w:hint="eastAsia" w:ascii="仿宋_GB2312" w:hAnsi="仿宋_GB2312" w:eastAsia="仿宋_GB2312" w:cs="仿宋_GB2312"/>
          <w:sz w:val="32"/>
          <w:szCs w:val="32"/>
          <w:lang w:eastAsia="zh-CN"/>
        </w:rPr>
        <w:t>对县（区）档案馆进行业务指导。</w:t>
      </w:r>
      <w:r>
        <w:rPr>
          <w:rFonts w:hint="eastAsia" w:ascii="仿宋_GB2312" w:hAnsi="仿宋_GB2312" w:eastAsia="仿宋_GB2312" w:cs="仿宋_GB2312"/>
          <w:sz w:val="32"/>
          <w:szCs w:val="32"/>
        </w:rPr>
        <w:t>组织开展档案学术研究、馆际合作和业务交流。完成市委、市政府交办的其他任务。</w:t>
      </w:r>
    </w:p>
    <w:p>
      <w:pPr>
        <w:pStyle w:val="4"/>
        <w:pageBreakBefore w:val="0"/>
        <w:kinsoku/>
        <w:wordWrap/>
        <w:overflowPunct/>
        <w:topLinePunct w:val="0"/>
        <w:bidi w:val="0"/>
        <w:spacing w:before="0" w:after="0" w:line="560" w:lineRule="exact"/>
        <w:ind w:left="0" w:leftChars="0" w:right="0" w:firstLine="640" w:firstLineChars="200"/>
        <w:textAlignment w:val="auto"/>
        <w:rPr>
          <w:rStyle w:val="18"/>
          <w:b w:val="0"/>
          <w:bCs w:val="0"/>
          <w:color w:val="auto"/>
          <w:highlight w:val="none"/>
        </w:rPr>
      </w:pPr>
      <w:bookmarkStart w:id="9" w:name="_Toc2329"/>
      <w:bookmarkStart w:id="10" w:name="_Toc15377200"/>
      <w:bookmarkStart w:id="11"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18"/>
          <w:rFonts w:hint="eastAsia" w:ascii="黑体" w:hAnsi="黑体" w:eastAsia="黑体"/>
          <w:b w:val="0"/>
          <w:bCs w:val="0"/>
          <w:color w:val="auto"/>
          <w:highlight w:val="none"/>
        </w:rPr>
        <w:t>构设置</w:t>
      </w:r>
      <w:bookmarkEnd w:id="9"/>
      <w:bookmarkEnd w:id="10"/>
      <w:bookmarkEnd w:id="11"/>
    </w:p>
    <w:p>
      <w:pPr>
        <w:pStyle w:val="5"/>
        <w:pageBreakBefore w:val="0"/>
        <w:numPr>
          <w:ilvl w:val="0"/>
          <w:numId w:val="0"/>
        </w:numPr>
        <w:kinsoku/>
        <w:wordWrap/>
        <w:overflowPunct/>
        <w:topLinePunct w:val="0"/>
        <w:bidi w:val="0"/>
        <w:adjustRightInd w:val="0"/>
        <w:snapToGrid w:val="0"/>
        <w:spacing w:beforeLines="0" w:line="560" w:lineRule="exact"/>
        <w:ind w:right="0" w:rightChars="0" w:firstLine="640" w:firstLineChars="200"/>
        <w:textAlignment w:val="auto"/>
        <w:outlineLvl w:val="0"/>
        <w:rPr>
          <w:rFonts w:ascii="仿宋" w:hAnsi="仿宋" w:eastAsia="仿宋"/>
          <w:color w:val="auto"/>
          <w:sz w:val="32"/>
          <w:szCs w:val="32"/>
          <w:highlight w:val="none"/>
        </w:rPr>
      </w:pPr>
      <w:bookmarkStart w:id="12" w:name="_Toc13114"/>
      <w:r>
        <w:rPr>
          <w:rFonts w:hint="eastAsia" w:ascii="仿宋_GB2312" w:hAnsi="仿宋_GB2312" w:eastAsia="仿宋_GB2312" w:cs="仿宋_GB2312"/>
          <w:sz w:val="32"/>
          <w:szCs w:val="32"/>
          <w:lang w:eastAsia="zh-CN"/>
        </w:rPr>
        <w:t>市档案馆代管事业</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（市现行文件服务中心）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未独立核算</w:t>
      </w:r>
      <w:r>
        <w:rPr>
          <w:rFonts w:hint="eastAsia" w:hAnsi="仿宋_GB2312" w:cs="仿宋_GB2312"/>
          <w:sz w:val="32"/>
          <w:szCs w:val="32"/>
          <w:lang w:eastAsia="zh-CN"/>
        </w:rPr>
        <w:t>。</w:t>
      </w:r>
      <w:r>
        <w:rPr>
          <w:rFonts w:hint="default" w:hAnsi="仿宋_GB2312" w:cs="仿宋_GB2312"/>
          <w:sz w:val="32"/>
          <w:szCs w:val="32"/>
          <w:lang w:eastAsia="zh-CN"/>
        </w:rPr>
        <w:t>无二级预算单位</w:t>
      </w:r>
      <w:r>
        <w:rPr>
          <w:rFonts w:hint="eastAsia" w:ascii="仿宋_GB2312" w:hAnsi="仿宋_GB2312" w:eastAsia="仿宋_GB2312" w:cs="仿宋_GB2312"/>
          <w:sz w:val="32"/>
          <w:szCs w:val="32"/>
          <w:lang w:eastAsia="zh-CN"/>
        </w:rPr>
        <w:t>。</w:t>
      </w:r>
      <w:bookmarkEnd w:id="12"/>
    </w:p>
    <w:p>
      <w:pPr>
        <w:rPr>
          <w:rStyle w:val="17"/>
          <w:rFonts w:hint="eastAsia" w:ascii="黑体" w:hAnsi="黑体" w:eastAsia="黑体" w:cs="Times New Roman"/>
          <w:b w:val="0"/>
          <w:bCs/>
          <w:color w:val="auto"/>
          <w:highlight w:val="none"/>
        </w:rPr>
      </w:pPr>
      <w:bookmarkStart w:id="13" w:name="_Toc15396602"/>
      <w:bookmarkStart w:id="14" w:name="_Toc15377204"/>
      <w:bookmarkStart w:id="15" w:name="_Toc13305"/>
      <w:r>
        <w:rPr>
          <w:rStyle w:val="17"/>
          <w:rFonts w:hint="eastAsia" w:ascii="黑体" w:hAnsi="黑体" w:eastAsia="黑体" w:cs="Times New Roman"/>
          <w:b w:val="0"/>
          <w:bCs/>
          <w:color w:val="auto"/>
          <w:highlight w:val="none"/>
        </w:rPr>
        <w:br w:type="page"/>
      </w:r>
    </w:p>
    <w:p>
      <w:pPr>
        <w:pageBreakBefore w:val="0"/>
        <w:widowControl/>
        <w:kinsoku/>
        <w:wordWrap/>
        <w:overflowPunct/>
        <w:topLinePunct w:val="0"/>
        <w:bidi w:val="0"/>
        <w:spacing w:line="560" w:lineRule="exact"/>
        <w:ind w:left="0" w:leftChars="0" w:right="0"/>
        <w:jc w:val="center"/>
        <w:textAlignment w:val="auto"/>
        <w:outlineLvl w:val="0"/>
        <w:rPr>
          <w:rStyle w:val="17"/>
          <w:rFonts w:ascii="黑体" w:hAnsi="黑体" w:eastAsia="黑体"/>
          <w:b w:val="0"/>
          <w:bCs/>
          <w:color w:val="auto"/>
          <w:highlight w:val="none"/>
        </w:rPr>
      </w:pPr>
      <w:r>
        <w:rPr>
          <w:rStyle w:val="17"/>
          <w:rFonts w:hint="eastAsia" w:ascii="黑体" w:hAnsi="黑体" w:eastAsia="黑体" w:cs="Times New Roman"/>
          <w:b w:val="0"/>
          <w:bCs/>
          <w:color w:val="auto"/>
          <w:highlight w:val="none"/>
        </w:rPr>
        <w:t xml:space="preserve">第二部分 </w:t>
      </w:r>
      <w:r>
        <w:rPr>
          <w:rStyle w:val="17"/>
          <w:rFonts w:hint="eastAsia" w:ascii="黑体" w:hAnsi="黑体" w:eastAsia="黑体" w:cs="Times New Roman"/>
          <w:b w:val="0"/>
          <w:bCs/>
          <w:color w:val="auto"/>
          <w:highlight w:val="none"/>
          <w:lang w:val="en-US" w:eastAsia="zh-CN"/>
        </w:rPr>
        <w:t>2023年度</w:t>
      </w:r>
      <w:r>
        <w:rPr>
          <w:rStyle w:val="17"/>
          <w:rFonts w:hint="eastAsia" w:ascii="黑体" w:hAnsi="黑体" w:eastAsia="黑体"/>
          <w:b w:val="0"/>
          <w:bCs/>
          <w:color w:val="auto"/>
          <w:highlight w:val="none"/>
        </w:rPr>
        <w:t>部门决算情况说明</w:t>
      </w:r>
      <w:bookmarkEnd w:id="13"/>
      <w:bookmarkEnd w:id="14"/>
      <w:bookmarkEnd w:id="15"/>
    </w:p>
    <w:p>
      <w:pPr>
        <w:pageBreakBefore w:val="0"/>
        <w:kinsoku/>
        <w:wordWrap/>
        <w:overflowPunct/>
        <w:topLinePunct w:val="0"/>
        <w:bidi w:val="0"/>
        <w:spacing w:line="560" w:lineRule="exact"/>
        <w:ind w:left="0" w:leftChars="0" w:right="0"/>
        <w:textAlignment w:val="auto"/>
        <w:rPr>
          <w:color w:val="auto"/>
          <w:highlight w:val="none"/>
        </w:rPr>
      </w:pPr>
    </w:p>
    <w:p>
      <w:pPr>
        <w:pStyle w:val="19"/>
        <w:pageBreakBefore w:val="0"/>
        <w:numPr>
          <w:ilvl w:val="0"/>
          <w:numId w:val="0"/>
        </w:numPr>
        <w:kinsoku/>
        <w:wordWrap/>
        <w:overflowPunct/>
        <w:topLinePunct w:val="0"/>
        <w:bidi w:val="0"/>
        <w:spacing w:line="560" w:lineRule="exact"/>
        <w:ind w:right="0" w:rightChars="0" w:firstLine="640" w:firstLineChars="200"/>
        <w:textAlignment w:val="auto"/>
        <w:outlineLvl w:val="1"/>
        <w:rPr>
          <w:rStyle w:val="18"/>
          <w:rFonts w:ascii="黑体" w:hAnsi="黑体" w:eastAsia="黑体"/>
          <w:b w:val="0"/>
          <w:color w:val="auto"/>
          <w:highlight w:val="none"/>
        </w:rPr>
      </w:pPr>
      <w:bookmarkStart w:id="16" w:name="_Toc15396603"/>
      <w:bookmarkStart w:id="17" w:name="_Toc30150"/>
      <w:bookmarkStart w:id="18" w:name="_Toc15377205"/>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18"/>
          <w:rFonts w:hint="eastAsia" w:ascii="黑体" w:hAnsi="黑体" w:eastAsia="黑体"/>
          <w:b w:val="0"/>
          <w:color w:val="auto"/>
          <w:highlight w:val="none"/>
        </w:rPr>
        <w:t>入支出决算总体情况说明</w:t>
      </w:r>
      <w:bookmarkEnd w:id="16"/>
      <w:bookmarkEnd w:id="17"/>
      <w:bookmarkEnd w:id="18"/>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1213.65</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年相比，收、支总计各增加</w:t>
      </w:r>
      <w:r>
        <w:rPr>
          <w:rFonts w:hint="eastAsia" w:ascii="仿宋_GB2312" w:hAnsi="仿宋_GB2312" w:eastAsia="仿宋_GB2312" w:cs="仿宋_GB2312"/>
          <w:color w:val="auto"/>
          <w:sz w:val="32"/>
          <w:szCs w:val="32"/>
          <w:highlight w:val="none"/>
          <w:lang w:val="en-US" w:eastAsia="zh-CN"/>
        </w:rPr>
        <w:t>442.01</w:t>
      </w:r>
      <w:r>
        <w:rPr>
          <w:rFonts w:hint="eastAsia" w:ascii="仿宋_GB2312" w:hAnsi="仿宋_GB2312" w:eastAsia="仿宋_GB2312" w:cs="仿宋_GB2312"/>
          <w:color w:val="auto"/>
          <w:sz w:val="32"/>
          <w:szCs w:val="32"/>
          <w:highlight w:val="none"/>
        </w:rPr>
        <w:t>万元，增</w:t>
      </w:r>
      <w:r>
        <w:rPr>
          <w:rFonts w:hint="eastAsia" w:ascii="仿宋_GB2312" w:hAnsi="仿宋_GB2312" w:eastAsia="仿宋_GB2312" w:cs="仿宋_GB2312"/>
          <w:color w:val="auto"/>
          <w:sz w:val="32"/>
          <w:szCs w:val="32"/>
          <w:highlight w:val="none"/>
          <w:lang w:val="en-US" w:eastAsia="zh-CN"/>
        </w:rPr>
        <w:t>长57.28%。主要变动原因是本年度新增数字档案馆建设项目和抚恤金支出。</w:t>
      </w:r>
    </w:p>
    <w:p>
      <w:pPr>
        <w:pStyle w:val="5"/>
        <w:jc w:val="center"/>
        <w:rPr>
          <w:rFonts w:hint="eastAsia" w:eastAsia="仿宋"/>
          <w:lang w:eastAsia="zh-CN"/>
        </w:rPr>
      </w:pPr>
      <w:bookmarkStart w:id="19" w:name="_Toc15377206"/>
      <w:bookmarkStart w:id="20" w:name="_Toc15396604"/>
      <w:r>
        <w:rPr>
          <w:rFonts w:hint="eastAsia" w:eastAsia="仿宋"/>
          <w:lang w:eastAsia="zh-CN"/>
        </w:rPr>
        <w:drawing>
          <wp:inline distT="0" distB="0" distL="114300" distR="114300">
            <wp:extent cx="4157980" cy="2593340"/>
            <wp:effectExtent l="4445" t="4445" r="9525" b="1206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19"/>
        <w:pageBreakBefore w:val="0"/>
        <w:numPr>
          <w:ilvl w:val="0"/>
          <w:numId w:val="0"/>
        </w:numPr>
        <w:kinsoku/>
        <w:wordWrap/>
        <w:overflowPunct/>
        <w:topLinePunct w:val="0"/>
        <w:bidi w:val="0"/>
        <w:spacing w:line="560" w:lineRule="exact"/>
        <w:ind w:right="0" w:rightChars="0" w:firstLine="640" w:firstLineChars="200"/>
        <w:textAlignment w:val="auto"/>
        <w:outlineLvl w:val="1"/>
        <w:rPr>
          <w:rStyle w:val="18"/>
          <w:rFonts w:ascii="黑体" w:hAnsi="黑体" w:eastAsia="黑体"/>
          <w:b w:val="0"/>
          <w:color w:val="auto"/>
          <w:highlight w:val="none"/>
        </w:rPr>
      </w:pPr>
      <w:bookmarkStart w:id="21" w:name="_Toc24557"/>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18"/>
          <w:rFonts w:hint="eastAsia" w:ascii="黑体" w:hAnsi="黑体" w:eastAsia="黑体"/>
          <w:b w:val="0"/>
          <w:color w:val="auto"/>
          <w:highlight w:val="none"/>
        </w:rPr>
        <w:t>入决算情况说明</w:t>
      </w:r>
      <w:bookmarkEnd w:id="19"/>
      <w:bookmarkEnd w:id="20"/>
      <w:bookmarkEnd w:id="21"/>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1213.65</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1213.65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p>
    <w:p>
      <w:pPr>
        <w:pStyle w:val="5"/>
        <w:jc w:val="center"/>
        <w:rPr>
          <w:rFonts w:hint="eastAsia" w:ascii="黑体" w:hAnsi="黑体" w:eastAsia="黑体"/>
          <w:color w:val="auto"/>
          <w:sz w:val="32"/>
          <w:szCs w:val="32"/>
          <w:highlight w:val="none"/>
          <w:lang w:eastAsia="zh-CN"/>
        </w:rPr>
      </w:pPr>
      <w:bookmarkStart w:id="22" w:name="_Toc15396605"/>
      <w:bookmarkStart w:id="23" w:name="_Toc15377207"/>
      <w:r>
        <w:rPr>
          <w:rFonts w:hint="eastAsia" w:eastAsia="仿宋"/>
          <w:lang w:eastAsia="zh-CN"/>
        </w:rPr>
        <w:drawing>
          <wp:inline distT="0" distB="0" distL="114300" distR="114300">
            <wp:extent cx="4017645" cy="1887855"/>
            <wp:effectExtent l="4445" t="5080" r="6985" b="1206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9"/>
        <w:pageBreakBefore w:val="0"/>
        <w:numPr>
          <w:ilvl w:val="0"/>
          <w:numId w:val="0"/>
        </w:numPr>
        <w:kinsoku/>
        <w:wordWrap/>
        <w:overflowPunct/>
        <w:topLinePunct w:val="0"/>
        <w:bidi w:val="0"/>
        <w:spacing w:line="560" w:lineRule="exact"/>
        <w:ind w:left="-720" w:leftChars="0" w:right="0" w:rightChars="0" w:firstLine="1280" w:firstLineChars="400"/>
        <w:textAlignment w:val="auto"/>
        <w:outlineLvl w:val="1"/>
        <w:rPr>
          <w:rStyle w:val="18"/>
          <w:rFonts w:ascii="黑体" w:hAnsi="黑体" w:eastAsia="黑体"/>
          <w:b w:val="0"/>
          <w:color w:val="auto"/>
          <w:highlight w:val="none"/>
        </w:rPr>
      </w:pPr>
      <w:bookmarkStart w:id="24" w:name="_Toc24509"/>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18"/>
          <w:rFonts w:hint="eastAsia" w:ascii="黑体" w:hAnsi="黑体" w:eastAsia="黑体"/>
          <w:b w:val="0"/>
          <w:color w:val="auto"/>
          <w:highlight w:val="none"/>
        </w:rPr>
        <w:t>出决算情况说明</w:t>
      </w:r>
      <w:bookmarkEnd w:id="22"/>
      <w:bookmarkEnd w:id="23"/>
      <w:bookmarkEnd w:id="24"/>
    </w:p>
    <w:p>
      <w:pPr>
        <w:pageBreakBefore w:val="0"/>
        <w:kinsoku/>
        <w:wordWrap/>
        <w:overflowPunct/>
        <w:topLinePunct w:val="0"/>
        <w:bidi w:val="0"/>
        <w:spacing w:line="560" w:lineRule="exact"/>
        <w:ind w:left="0" w:leftChars="0" w:right="0" w:firstLine="640" w:firstLineChars="200"/>
        <w:textAlignment w:val="auto"/>
        <w:rPr>
          <w:rFonts w:hint="eastAsia" w:eastAsia="仿宋"/>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1213.65</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725.52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59.78</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488.13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40.22</w:t>
      </w:r>
      <w:r>
        <w:rPr>
          <w:rFonts w:hint="eastAsia" w:ascii="仿宋_GB2312" w:hAnsi="仿宋_GB2312" w:eastAsia="仿宋_GB2312" w:cs="仿宋_GB2312"/>
          <w:color w:val="auto"/>
          <w:sz w:val="32"/>
          <w:szCs w:val="32"/>
          <w:highlight w:val="none"/>
        </w:rPr>
        <w:t>%。</w:t>
      </w:r>
      <w:bookmarkStart w:id="25" w:name="_Toc15396606"/>
      <w:bookmarkStart w:id="26" w:name="_Toc15377208"/>
    </w:p>
    <w:p>
      <w:pPr>
        <w:pStyle w:val="5"/>
        <w:jc w:val="center"/>
        <w:rPr>
          <w:rFonts w:hint="eastAsia" w:eastAsia="仿宋"/>
          <w:lang w:eastAsia="zh-CN"/>
        </w:rPr>
      </w:pPr>
      <w:r>
        <w:rPr>
          <w:rFonts w:hint="eastAsia" w:eastAsia="仿宋"/>
          <w:lang w:eastAsia="zh-CN"/>
        </w:rPr>
        <w:drawing>
          <wp:inline distT="0" distB="0" distL="114300" distR="114300">
            <wp:extent cx="4208780" cy="2487295"/>
            <wp:effectExtent l="4445" t="4445" r="15875" b="2286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topLinePunct w:val="0"/>
        <w:bidi w:val="0"/>
        <w:spacing w:line="560" w:lineRule="exact"/>
        <w:ind w:left="0" w:leftChars="0" w:right="0" w:firstLine="640" w:firstLineChars="200"/>
        <w:textAlignment w:val="auto"/>
        <w:outlineLvl w:val="1"/>
        <w:rPr>
          <w:rStyle w:val="18"/>
          <w:rFonts w:ascii="黑体" w:hAnsi="黑体" w:eastAsia="黑体"/>
          <w:b w:val="0"/>
          <w:color w:val="auto"/>
          <w:highlight w:val="none"/>
        </w:rPr>
      </w:pPr>
      <w:bookmarkStart w:id="27" w:name="_Toc32431"/>
      <w:r>
        <w:rPr>
          <w:rFonts w:hint="eastAsia" w:ascii="黑体" w:hAnsi="黑体" w:eastAsia="黑体"/>
          <w:color w:val="auto"/>
          <w:sz w:val="32"/>
          <w:szCs w:val="32"/>
          <w:highlight w:val="none"/>
        </w:rPr>
        <w:t>四、财</w:t>
      </w:r>
      <w:r>
        <w:rPr>
          <w:rStyle w:val="18"/>
          <w:rFonts w:hint="eastAsia" w:ascii="黑体" w:hAnsi="黑体" w:eastAsia="黑体"/>
          <w:b w:val="0"/>
          <w:color w:val="auto"/>
          <w:highlight w:val="none"/>
        </w:rPr>
        <w:t>政拨款收入支出决算总体情况说明</w:t>
      </w:r>
      <w:bookmarkEnd w:id="25"/>
      <w:bookmarkEnd w:id="26"/>
      <w:bookmarkEnd w:id="27"/>
    </w:p>
    <w:p>
      <w:pPr>
        <w:pageBreakBefore w:val="0"/>
        <w:kinsoku/>
        <w:wordWrap/>
        <w:overflowPunct/>
        <w:topLinePunct w:val="0"/>
        <w:bidi w:val="0"/>
        <w:spacing w:line="560" w:lineRule="exact"/>
        <w:ind w:left="0" w:leftChars="0" w:right="0" w:firstLine="640" w:firstLineChars="200"/>
        <w:textAlignment w:val="auto"/>
        <w:rPr>
          <w:rFonts w:hint="eastAsia" w:eastAsia="仿宋"/>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1213.65</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年相比，财政拨款收、支总计各增加</w:t>
      </w:r>
      <w:r>
        <w:rPr>
          <w:rFonts w:hint="eastAsia" w:ascii="仿宋_GB2312" w:hAnsi="仿宋_GB2312" w:eastAsia="仿宋_GB2312" w:cs="仿宋_GB2312"/>
          <w:color w:val="auto"/>
          <w:sz w:val="32"/>
          <w:szCs w:val="32"/>
          <w:highlight w:val="none"/>
          <w:lang w:val="en-US" w:eastAsia="zh-CN"/>
        </w:rPr>
        <w:t>461.23</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61.3</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本年度新增数字档案馆建设项目和抚恤金支出。</w:t>
      </w:r>
      <w:bookmarkStart w:id="28" w:name="_Toc15377209"/>
      <w:bookmarkStart w:id="29" w:name="_Toc15396607"/>
    </w:p>
    <w:p>
      <w:pPr>
        <w:pStyle w:val="5"/>
        <w:jc w:val="center"/>
        <w:rPr>
          <w:rFonts w:hint="eastAsia" w:eastAsia="仿宋"/>
          <w:lang w:eastAsia="zh-CN"/>
        </w:rPr>
      </w:pPr>
      <w:r>
        <w:rPr>
          <w:rFonts w:hint="eastAsia" w:eastAsia="仿宋"/>
          <w:lang w:eastAsia="zh-CN"/>
        </w:rPr>
        <w:drawing>
          <wp:inline distT="0" distB="0" distL="114300" distR="114300">
            <wp:extent cx="4157980" cy="2593340"/>
            <wp:effectExtent l="4445" t="4445" r="9525"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kinsoku/>
        <w:wordWrap/>
        <w:overflowPunct/>
        <w:topLinePunct w:val="0"/>
        <w:bidi w:val="0"/>
        <w:spacing w:line="560" w:lineRule="exact"/>
        <w:ind w:left="0" w:leftChars="0" w:right="0" w:firstLine="640" w:firstLineChars="200"/>
        <w:textAlignment w:val="auto"/>
        <w:outlineLvl w:val="1"/>
        <w:rPr>
          <w:rStyle w:val="18"/>
          <w:rFonts w:ascii="黑体" w:hAnsi="黑体" w:eastAsia="黑体"/>
          <w:b w:val="0"/>
          <w:color w:val="auto"/>
          <w:highlight w:val="none"/>
        </w:rPr>
      </w:pPr>
      <w:bookmarkStart w:id="30" w:name="_Toc31522"/>
      <w:r>
        <w:rPr>
          <w:rStyle w:val="18"/>
          <w:rFonts w:hint="eastAsia" w:ascii="黑体" w:hAnsi="黑体" w:eastAsia="黑体"/>
          <w:b w:val="0"/>
          <w:color w:val="auto"/>
          <w:highlight w:val="none"/>
        </w:rPr>
        <w:t>五、一般公共预算财政拨款支出决算情况说明</w:t>
      </w:r>
      <w:bookmarkEnd w:id="28"/>
      <w:bookmarkEnd w:id="29"/>
      <w:bookmarkEnd w:id="30"/>
    </w:p>
    <w:p>
      <w:pPr>
        <w:pageBreakBefore w:val="0"/>
        <w:kinsoku/>
        <w:wordWrap/>
        <w:overflowPunct/>
        <w:topLinePunct w:val="0"/>
        <w:bidi w:val="0"/>
        <w:spacing w:line="560" w:lineRule="exact"/>
        <w:ind w:left="0" w:leftChars="0" w:right="0" w:firstLine="642" w:firstLineChars="200"/>
        <w:textAlignment w:val="auto"/>
        <w:outlineLvl w:val="2"/>
        <w:rPr>
          <w:rFonts w:hint="eastAsia" w:ascii="楷体_GB2312" w:hAnsi="楷体_GB2312" w:eastAsia="楷体_GB2312" w:cs="楷体_GB2312"/>
          <w:b/>
          <w:bCs w:val="0"/>
          <w:color w:val="auto"/>
          <w:sz w:val="32"/>
          <w:szCs w:val="32"/>
          <w:highlight w:val="none"/>
        </w:rPr>
      </w:pPr>
      <w:bookmarkStart w:id="31" w:name="_Toc15377210"/>
      <w:r>
        <w:rPr>
          <w:rFonts w:hint="eastAsia" w:ascii="楷体_GB2312" w:hAnsi="楷体_GB2312" w:eastAsia="楷体_GB2312" w:cs="楷体_GB2312"/>
          <w:b/>
          <w:bCs w:val="0"/>
          <w:color w:val="auto"/>
          <w:sz w:val="32"/>
          <w:szCs w:val="32"/>
          <w:highlight w:val="none"/>
        </w:rPr>
        <w:t>（一）一般公共预算财政拨款支出决算总体情况</w:t>
      </w:r>
      <w:bookmarkEnd w:id="31"/>
    </w:p>
    <w:p>
      <w:pPr>
        <w:pageBreakBefore w:val="0"/>
        <w:kinsoku/>
        <w:wordWrap/>
        <w:overflowPunct/>
        <w:topLinePunct w:val="0"/>
        <w:bidi w:val="0"/>
        <w:spacing w:line="560" w:lineRule="exact"/>
        <w:ind w:left="0" w:leftChars="0" w:right="0" w:firstLine="640" w:firstLineChars="200"/>
        <w:textAlignment w:val="auto"/>
        <w:rPr>
          <w:rFonts w:hint="eastAsia" w:eastAsia="仿宋"/>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1213.65</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461.23</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61.3</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本年度新增数字档案馆建设项目和抚恤金支出。</w:t>
      </w:r>
    </w:p>
    <w:p>
      <w:pPr>
        <w:pStyle w:val="5"/>
        <w:jc w:val="center"/>
        <w:rPr>
          <w:rFonts w:hint="eastAsia" w:eastAsia="仿宋"/>
          <w:lang w:eastAsia="zh-CN"/>
        </w:rPr>
      </w:pPr>
      <w:r>
        <w:rPr>
          <w:rFonts w:hint="eastAsia" w:eastAsia="仿宋"/>
          <w:lang w:eastAsia="zh-CN"/>
        </w:rPr>
        <w:drawing>
          <wp:inline distT="0" distB="0" distL="114300" distR="114300">
            <wp:extent cx="4176395" cy="2537460"/>
            <wp:effectExtent l="4445" t="5080" r="10160" b="1016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ageBreakBefore w:val="0"/>
        <w:kinsoku/>
        <w:wordWrap/>
        <w:overflowPunct/>
        <w:topLinePunct w:val="0"/>
        <w:bidi w:val="0"/>
        <w:spacing w:line="560" w:lineRule="exact"/>
        <w:ind w:left="0" w:leftChars="0" w:right="0" w:firstLine="642" w:firstLineChars="200"/>
        <w:textAlignment w:val="auto"/>
        <w:outlineLvl w:val="2"/>
        <w:rPr>
          <w:rFonts w:hint="eastAsia" w:ascii="楷体_GB2312" w:hAnsi="楷体_GB2312" w:eastAsia="楷体_GB2312" w:cs="楷体_GB2312"/>
          <w:b/>
          <w:color w:val="auto"/>
          <w:sz w:val="32"/>
          <w:szCs w:val="32"/>
          <w:highlight w:val="none"/>
        </w:rPr>
      </w:pPr>
      <w:bookmarkStart w:id="32" w:name="_Toc15377211"/>
      <w:r>
        <w:rPr>
          <w:rFonts w:hint="eastAsia" w:ascii="楷体_GB2312" w:hAnsi="楷体_GB2312" w:eastAsia="楷体_GB2312" w:cs="楷体_GB2312"/>
          <w:b/>
          <w:color w:val="auto"/>
          <w:sz w:val="32"/>
          <w:szCs w:val="32"/>
          <w:highlight w:val="none"/>
        </w:rPr>
        <w:t>（二）一般公共预算财政拨款支出决算结构情况</w:t>
      </w:r>
      <w:bookmarkEnd w:id="32"/>
    </w:p>
    <w:p>
      <w:pPr>
        <w:pageBreakBefore w:val="0"/>
        <w:kinsoku/>
        <w:wordWrap/>
        <w:overflowPunct/>
        <w:topLinePunct w:val="0"/>
        <w:bidi w:val="0"/>
        <w:spacing w:line="560" w:lineRule="exact"/>
        <w:ind w:left="0" w:leftChars="0" w:right="0" w:firstLine="640" w:firstLineChars="200"/>
        <w:textAlignment w:val="auto"/>
        <w:rPr>
          <w:rFonts w:hint="eastAsia" w:eastAsia="仿宋"/>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1213.65</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color w:val="auto"/>
          <w:sz w:val="32"/>
          <w:szCs w:val="32"/>
          <w:highlight w:val="none"/>
        </w:rPr>
        <w:t>一般公共服务</w:t>
      </w:r>
      <w:r>
        <w:rPr>
          <w:rFonts w:hint="eastAsia" w:ascii="仿宋_GB2312" w:hAnsi="仿宋_GB2312" w:eastAsia="仿宋_GB2312" w:cs="仿宋_GB2312"/>
          <w:b/>
          <w:bCs/>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1050.61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86.57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社会保障和就业支出</w:t>
      </w:r>
      <w:r>
        <w:rPr>
          <w:rFonts w:hint="eastAsia" w:ascii="仿宋_GB2312" w:hAnsi="仿宋_GB2312" w:eastAsia="仿宋_GB2312" w:cs="仿宋_GB2312"/>
          <w:color w:val="auto"/>
          <w:sz w:val="32"/>
          <w:szCs w:val="32"/>
          <w:highlight w:val="none"/>
          <w:lang w:val="en-US" w:eastAsia="zh-CN"/>
        </w:rPr>
        <w:t>88.55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26.86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2.21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住房保障支出</w:t>
      </w:r>
      <w:r>
        <w:rPr>
          <w:rFonts w:hint="eastAsia" w:ascii="仿宋_GB2312" w:hAnsi="仿宋_GB2312" w:eastAsia="仿宋_GB2312" w:cs="仿宋_GB2312"/>
          <w:color w:val="auto"/>
          <w:sz w:val="32"/>
          <w:szCs w:val="32"/>
          <w:highlight w:val="none"/>
          <w:lang w:val="en-US" w:eastAsia="zh-CN"/>
        </w:rPr>
        <w:t>47.63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3.92</w:t>
      </w:r>
      <w:r>
        <w:rPr>
          <w:rFonts w:hint="eastAsia" w:ascii="仿宋_GB2312" w:hAnsi="仿宋_GB2312" w:eastAsia="仿宋_GB2312" w:cs="仿宋_GB2312"/>
          <w:color w:val="auto"/>
          <w:sz w:val="32"/>
          <w:szCs w:val="32"/>
          <w:highlight w:val="none"/>
        </w:rPr>
        <w:t>%。</w:t>
      </w:r>
    </w:p>
    <w:p>
      <w:pPr>
        <w:pStyle w:val="5"/>
        <w:jc w:val="center"/>
        <w:rPr>
          <w:rFonts w:hint="eastAsia" w:eastAsia="仿宋"/>
          <w:lang w:eastAsia="zh-CN"/>
        </w:rPr>
      </w:pPr>
      <w:r>
        <w:rPr>
          <w:rFonts w:hint="eastAsia" w:eastAsia="仿宋"/>
          <w:lang w:eastAsia="zh-CN"/>
        </w:rPr>
        <w:drawing>
          <wp:inline distT="0" distB="0" distL="114300" distR="114300">
            <wp:extent cx="4110990" cy="2428240"/>
            <wp:effectExtent l="4445" t="4445" r="18415" b="571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ageBreakBefore w:val="0"/>
        <w:kinsoku/>
        <w:wordWrap/>
        <w:overflowPunct/>
        <w:topLinePunct w:val="0"/>
        <w:bidi w:val="0"/>
        <w:spacing w:line="560" w:lineRule="exact"/>
        <w:ind w:left="0" w:leftChars="0" w:right="0" w:firstLine="642" w:firstLineChars="200"/>
        <w:textAlignment w:val="auto"/>
        <w:outlineLvl w:val="2"/>
        <w:rPr>
          <w:rFonts w:hint="eastAsia" w:ascii="楷体_GB2312" w:hAnsi="楷体_GB2312" w:eastAsia="楷体_GB2312" w:cs="楷体_GB2312"/>
          <w:b/>
          <w:color w:val="auto"/>
          <w:sz w:val="32"/>
          <w:szCs w:val="32"/>
          <w:highlight w:val="none"/>
        </w:rPr>
      </w:pPr>
      <w:bookmarkStart w:id="33" w:name="_Toc15377212"/>
      <w:r>
        <w:rPr>
          <w:rFonts w:hint="eastAsia" w:ascii="楷体_GB2312" w:hAnsi="楷体_GB2312" w:eastAsia="楷体_GB2312" w:cs="楷体_GB2312"/>
          <w:b/>
          <w:color w:val="auto"/>
          <w:sz w:val="32"/>
          <w:szCs w:val="32"/>
          <w:highlight w:val="none"/>
        </w:rPr>
        <w:t>（三）一般公共预算财政拨款支出决算具体情况</w:t>
      </w:r>
      <w:bookmarkEnd w:id="33"/>
    </w:p>
    <w:p>
      <w:pPr>
        <w:pageBreakBefore w:val="0"/>
        <w:kinsoku/>
        <w:wordWrap/>
        <w:overflowPunct/>
        <w:topLinePunct w:val="0"/>
        <w:bidi w:val="0"/>
        <w:spacing w:line="560" w:lineRule="exact"/>
        <w:ind w:left="0" w:leftChars="0" w:right="0" w:firstLine="642" w:firstLineChars="200"/>
        <w:textAlignment w:val="auto"/>
        <w:outlineLvl w:val="1"/>
        <w:rPr>
          <w:rFonts w:ascii="仿宋" w:hAnsi="仿宋" w:eastAsia="仿宋"/>
          <w:color w:val="auto"/>
          <w:sz w:val="32"/>
          <w:szCs w:val="32"/>
          <w:highlight w:val="none"/>
        </w:rPr>
      </w:pPr>
      <w:bookmarkStart w:id="34" w:name="_Toc15378460"/>
      <w:bookmarkStart w:id="35" w:name="_Toc15377444"/>
      <w:bookmarkStart w:id="36" w:name="_Toc15377213"/>
      <w:bookmarkStart w:id="37" w:name="_Toc7327"/>
      <w:r>
        <w:rPr>
          <w:rFonts w:hint="eastAsia" w:ascii="仿宋_GB2312" w:hAnsi="仿宋_GB2312" w:eastAsia="仿宋_GB2312" w:cs="仿宋_GB2312"/>
          <w:b/>
          <w:color w:val="auto"/>
          <w:sz w:val="32"/>
          <w:szCs w:val="32"/>
          <w:highlight w:val="none"/>
        </w:rPr>
        <w:t>20</w:t>
      </w:r>
      <w:r>
        <w:rPr>
          <w:rFonts w:hint="eastAsia" w:ascii="仿宋_GB2312" w:hAnsi="仿宋_GB2312" w:eastAsia="仿宋_GB2312" w:cs="仿宋_GB2312"/>
          <w:b/>
          <w:color w:val="auto"/>
          <w:sz w:val="32"/>
          <w:szCs w:val="32"/>
          <w:highlight w:val="none"/>
          <w:lang w:val="en-US" w:eastAsia="zh-CN"/>
        </w:rPr>
        <w:t>23</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1213.65万元</w:t>
      </w:r>
      <w:r>
        <w:rPr>
          <w:rFonts w:hint="eastAsia" w:ascii="仿宋_GB2312" w:hAnsi="仿宋_GB2312" w:eastAsia="仿宋_GB2312" w:cs="仿宋_GB2312"/>
          <w:b/>
          <w:color w:val="auto"/>
          <w:sz w:val="32"/>
          <w:szCs w:val="32"/>
          <w:highlight w:val="none"/>
        </w:rPr>
        <w:t>，完成预算</w:t>
      </w:r>
      <w:r>
        <w:rPr>
          <w:rFonts w:hint="eastAsia" w:ascii="仿宋_GB2312" w:hAnsi="仿宋_GB2312" w:eastAsia="仿宋_GB2312" w:cs="仿宋_GB2312"/>
          <w:b/>
          <w:color w:val="auto"/>
          <w:sz w:val="32"/>
          <w:szCs w:val="32"/>
          <w:highlight w:val="none"/>
          <w:lang w:val="en-US" w:eastAsia="zh-CN"/>
        </w:rPr>
        <w:t>100</w:t>
      </w:r>
      <w:r>
        <w:rPr>
          <w:rFonts w:hint="eastAsia" w:ascii="仿宋_GB2312" w:hAnsi="仿宋_GB2312" w:eastAsia="仿宋_GB2312" w:cs="仿宋_GB2312"/>
          <w:b/>
          <w:color w:val="auto"/>
          <w:sz w:val="32"/>
          <w:szCs w:val="32"/>
          <w:highlight w:val="none"/>
        </w:rPr>
        <w:t>%。其中：</w:t>
      </w:r>
      <w:bookmarkEnd w:id="34"/>
      <w:bookmarkEnd w:id="35"/>
      <w:bookmarkEnd w:id="36"/>
      <w:bookmarkEnd w:id="37"/>
    </w:p>
    <w:p>
      <w:pPr>
        <w:pageBreakBefore w:val="0"/>
        <w:kinsoku/>
        <w:wordWrap/>
        <w:overflowPunct/>
        <w:topLinePunct w:val="0"/>
        <w:bidi w:val="0"/>
        <w:spacing w:line="560" w:lineRule="exact"/>
        <w:ind w:left="0" w:leftChars="0" w:right="0"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1.一般公共服务（类）</w:t>
      </w:r>
      <w:r>
        <w:rPr>
          <w:rFonts w:hint="eastAsia" w:ascii="仿宋_GB2312" w:hAnsi="仿宋_GB2312" w:eastAsia="仿宋_GB2312" w:cs="仿宋_GB2312"/>
          <w:b/>
          <w:color w:val="auto"/>
          <w:sz w:val="32"/>
          <w:szCs w:val="32"/>
          <w:highlight w:val="none"/>
          <w:lang w:val="en-US" w:eastAsia="zh-CN"/>
        </w:rPr>
        <w:t>档案事务（款）行政运行（项）：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539.39</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pageBreakBefore w:val="0"/>
        <w:kinsoku/>
        <w:wordWrap/>
        <w:overflowPunct/>
        <w:topLinePunct w:val="0"/>
        <w:bidi w:val="0"/>
        <w:spacing w:line="560" w:lineRule="exact"/>
        <w:ind w:left="0" w:leftChars="0" w:right="0" w:firstLine="642" w:firstLineChars="200"/>
        <w:textAlignment w:val="auto"/>
        <w:rPr>
          <w:rFonts w:hint="default"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2.一般公共服务（类）档案事务（款）一般行政管理事务（项）：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3.64</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pageBreakBefore w:val="0"/>
        <w:kinsoku/>
        <w:wordWrap/>
        <w:overflowPunct/>
        <w:topLinePunct w:val="0"/>
        <w:bidi w:val="0"/>
        <w:spacing w:line="560" w:lineRule="exact"/>
        <w:ind w:left="0" w:leftChars="0" w:right="0" w:firstLine="642" w:firstLineChars="200"/>
        <w:textAlignment w:val="auto"/>
        <w:rPr>
          <w:rStyle w:val="15"/>
          <w:rFonts w:hint="eastAsia" w:ascii="仿宋" w:hAnsi="仿宋" w:eastAsia="仿宋" w:cs="Times New Roman"/>
          <w:b w:val="0"/>
          <w:bCs/>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3</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val="en-US" w:eastAsia="zh-CN"/>
        </w:rPr>
        <w:t>一般公共服务（类）档案事务（款）档案馆（项）：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357.57</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pageBreakBefore w:val="0"/>
        <w:kinsoku/>
        <w:wordWrap/>
        <w:overflowPunct/>
        <w:topLinePunct w:val="0"/>
        <w:bidi w:val="0"/>
        <w:spacing w:line="560" w:lineRule="exact"/>
        <w:ind w:left="0" w:leftChars="0" w:right="0" w:firstLine="642" w:firstLineChars="200"/>
        <w:textAlignment w:val="auto"/>
        <w:rPr>
          <w:rFonts w:hint="default"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4.一般公共服务（类）档案事务（款）其他档案事务支出（项）：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150</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pageBreakBefore w:val="0"/>
        <w:kinsoku/>
        <w:wordWrap/>
        <w:overflowPunct/>
        <w:topLinePunct w:val="0"/>
        <w:bidi w:val="0"/>
        <w:spacing w:line="560" w:lineRule="exact"/>
        <w:ind w:left="0" w:leftChars="0" w:right="0" w:firstLine="642" w:firstLineChars="200"/>
        <w:textAlignment w:val="auto"/>
        <w:rPr>
          <w:rFonts w:ascii="仿宋" w:hAnsi="仿宋" w:eastAsia="仿宋"/>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5</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val="en-US" w:eastAsia="zh-CN"/>
        </w:rPr>
        <w:t>社会保障和就业（类）行政事业单位养老（款）机关事业单位基本养老保险缴费支出（项）：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65.64</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pageBreakBefore w:val="0"/>
        <w:kinsoku/>
        <w:wordWrap/>
        <w:overflowPunct/>
        <w:topLinePunct w:val="0"/>
        <w:bidi w:val="0"/>
        <w:spacing w:line="560" w:lineRule="exact"/>
        <w:ind w:left="0" w:leftChars="0" w:right="0"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6</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val="en-US" w:eastAsia="zh-CN"/>
        </w:rPr>
        <w:t>社会保障和就业（类）行政事业单位养老（款）机关事业单位职业年金缴费支出（项）：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0.02</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pageBreakBefore w:val="0"/>
        <w:kinsoku/>
        <w:wordWrap/>
        <w:overflowPunct/>
        <w:topLinePunct w:val="0"/>
        <w:bidi w:val="0"/>
        <w:spacing w:line="560" w:lineRule="exact"/>
        <w:ind w:left="0" w:leftChars="0" w:right="0" w:firstLine="642" w:firstLineChars="200"/>
        <w:textAlignment w:val="auto"/>
      </w:pPr>
      <w:r>
        <w:rPr>
          <w:rFonts w:hint="eastAsia" w:ascii="仿宋_GB2312" w:hAnsi="仿宋_GB2312" w:eastAsia="仿宋_GB2312" w:cs="仿宋_GB2312"/>
          <w:b/>
          <w:color w:val="auto"/>
          <w:sz w:val="32"/>
          <w:szCs w:val="32"/>
          <w:highlight w:val="none"/>
          <w:lang w:val="en-US" w:eastAsia="zh-CN"/>
        </w:rPr>
        <w:t>7.社会保障和就业（类）抚恤（款）死亡抚恤（项）：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21.98</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pageBreakBefore w:val="0"/>
        <w:kinsoku/>
        <w:wordWrap/>
        <w:overflowPunct/>
        <w:topLinePunct w:val="0"/>
        <w:bidi w:val="0"/>
        <w:spacing w:line="560" w:lineRule="exact"/>
        <w:ind w:left="0" w:leftChars="0" w:right="0" w:firstLine="642" w:firstLineChars="200"/>
        <w:textAlignment w:val="auto"/>
        <w:rPr>
          <w:rFonts w:hint="default"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8.社会保障和就业（类）其他社会保障和就业支出（款）其他社会保障和就业支出（项）：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0.9</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pageBreakBefore w:val="0"/>
        <w:kinsoku/>
        <w:wordWrap/>
        <w:overflowPunct/>
        <w:topLinePunct w:val="0"/>
        <w:bidi w:val="0"/>
        <w:spacing w:line="560" w:lineRule="exact"/>
        <w:ind w:left="0" w:leftChars="0" w:right="0" w:firstLine="642" w:firstLineChars="200"/>
        <w:textAlignment w:val="auto"/>
        <w:rPr>
          <w:rFonts w:ascii="仿宋" w:hAnsi="仿宋" w:eastAsia="仿宋"/>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9.卫生健康支出（类）行政事业单位医疗（款）事业单位医疗（项）：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26.86</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pageBreakBefore w:val="0"/>
        <w:kinsoku/>
        <w:wordWrap/>
        <w:overflowPunct/>
        <w:topLinePunct w:val="0"/>
        <w:bidi w:val="0"/>
        <w:spacing w:line="560" w:lineRule="exact"/>
        <w:ind w:left="0" w:leftChars="0" w:right="0" w:firstLine="642" w:firstLineChars="200"/>
        <w:textAlignment w:val="auto"/>
        <w:rPr>
          <w:rFonts w:hint="eastAsia" w:ascii="黑体" w:eastAsia="黑体"/>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10.住房保障支出（类）住房改革支出（款）住房公积金（项）：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47.63</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bookmarkStart w:id="38" w:name="_Toc15377214"/>
      <w:bookmarkStart w:id="39" w:name="_Toc15396608"/>
    </w:p>
    <w:p>
      <w:pPr>
        <w:pageBreakBefore w:val="0"/>
        <w:tabs>
          <w:tab w:val="right" w:pos="8306"/>
        </w:tabs>
        <w:kinsoku/>
        <w:wordWrap/>
        <w:overflowPunct/>
        <w:topLinePunct w:val="0"/>
        <w:bidi w:val="0"/>
        <w:spacing w:line="560" w:lineRule="exact"/>
        <w:ind w:left="0" w:leftChars="0" w:right="0" w:firstLine="640"/>
        <w:textAlignment w:val="auto"/>
        <w:outlineLvl w:val="1"/>
        <w:rPr>
          <w:rStyle w:val="18"/>
          <w:color w:val="auto"/>
          <w:highlight w:val="none"/>
        </w:rPr>
      </w:pPr>
      <w:bookmarkStart w:id="40" w:name="_Toc19353"/>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8"/>
          <w:rFonts w:hint="eastAsia" w:ascii="黑体" w:hAnsi="黑体" w:eastAsia="黑体"/>
          <w:b w:val="0"/>
          <w:color w:val="auto"/>
          <w:highlight w:val="none"/>
        </w:rPr>
        <w:t>般公共预算财政拨款基本支出决算情况说明</w:t>
      </w:r>
      <w:bookmarkEnd w:id="38"/>
      <w:bookmarkEnd w:id="39"/>
      <w:bookmarkEnd w:id="40"/>
      <w:r>
        <w:rPr>
          <w:rStyle w:val="18"/>
          <w:rFonts w:ascii="黑体" w:hAnsi="黑体" w:eastAsia="黑体"/>
          <w:b w:val="0"/>
          <w:color w:val="auto"/>
          <w:highlight w:val="none"/>
        </w:rPr>
        <w:tab/>
      </w:r>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725.51</w:t>
      </w:r>
      <w:r>
        <w:rPr>
          <w:rFonts w:hint="eastAsia" w:ascii="仿宋_GB2312" w:hAnsi="仿宋_GB2312" w:eastAsia="仿宋_GB2312" w:cs="仿宋_GB2312"/>
          <w:color w:val="auto"/>
          <w:sz w:val="32"/>
          <w:szCs w:val="32"/>
          <w:highlight w:val="none"/>
        </w:rPr>
        <w:t>万元，其中：</w:t>
      </w:r>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643.75</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万元，主要包括：基本工资、津贴补贴、奖金、绩效工资、机关事业单位基本养老保险缴费、职业年金缴费、</w:t>
      </w:r>
      <w:r>
        <w:rPr>
          <w:rFonts w:hint="eastAsia" w:ascii="仿宋_GB2312" w:hAnsi="仿宋_GB2312" w:eastAsia="仿宋_GB2312" w:cs="仿宋_GB2312"/>
          <w:color w:val="auto"/>
          <w:sz w:val="32"/>
          <w:szCs w:val="32"/>
          <w:highlight w:val="none"/>
          <w:lang w:eastAsia="zh-CN"/>
        </w:rPr>
        <w:t>职工基本医疗保险缴费、</w:t>
      </w:r>
      <w:r>
        <w:rPr>
          <w:rFonts w:hint="eastAsia" w:ascii="仿宋_GB2312" w:hAnsi="仿宋_GB2312" w:eastAsia="仿宋_GB2312" w:cs="仿宋_GB2312"/>
          <w:color w:val="auto"/>
          <w:sz w:val="32"/>
          <w:szCs w:val="32"/>
          <w:highlight w:val="none"/>
        </w:rPr>
        <w:t>其他社会保障缴费、住房公积金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其他工资福利支出、</w:t>
      </w:r>
      <w:r>
        <w:rPr>
          <w:rFonts w:hint="eastAsia" w:ascii="仿宋_GB2312" w:hAnsi="仿宋_GB2312" w:eastAsia="仿宋_GB2312" w:cs="仿宋_GB2312"/>
          <w:color w:val="auto"/>
          <w:sz w:val="32"/>
          <w:szCs w:val="32"/>
          <w:highlight w:val="none"/>
          <w:lang w:eastAsia="zh-CN"/>
        </w:rPr>
        <w:t>抚恤金、生活补助</w:t>
      </w:r>
      <w:r>
        <w:rPr>
          <w:rFonts w:hint="eastAsia" w:ascii="仿宋_GB2312" w:hAnsi="仿宋_GB2312" w:eastAsia="仿宋_GB2312" w:cs="仿宋_GB2312"/>
          <w:color w:val="auto"/>
          <w:sz w:val="32"/>
          <w:szCs w:val="32"/>
          <w:highlight w:val="none"/>
        </w:rPr>
        <w:t>。</w:t>
      </w:r>
    </w:p>
    <w:p>
      <w:pPr>
        <w:pageBreakBefore w:val="0"/>
        <w:kinsoku/>
        <w:wordWrap/>
        <w:overflowPunct/>
        <w:topLinePunct w:val="0"/>
        <w:bidi w:val="0"/>
        <w:spacing w:line="560" w:lineRule="exact"/>
        <w:ind w:left="0" w:leftChars="0" w:right="0" w:firstLine="640" w:firstLineChars="200"/>
        <w:textAlignment w:val="auto"/>
        <w:rPr>
          <w:rFonts w:hint="eastAsia" w:ascii="黑体" w:eastAsia="黑体"/>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81.76</w:t>
      </w:r>
      <w:r>
        <w:rPr>
          <w:rFonts w:hint="eastAsia" w:ascii="仿宋_GB2312" w:hAnsi="仿宋_GB2312" w:eastAsia="仿宋_GB2312" w:cs="仿宋_GB2312"/>
          <w:color w:val="auto"/>
          <w:sz w:val="32"/>
          <w:szCs w:val="32"/>
          <w:highlight w:val="none"/>
        </w:rPr>
        <w:t>万元，主要包括：办公费、差旅费、</w:t>
      </w:r>
      <w:r>
        <w:rPr>
          <w:rFonts w:hint="eastAsia" w:ascii="仿宋_GB2312" w:hAnsi="仿宋_GB2312" w:eastAsia="仿宋_GB2312" w:cs="仿宋_GB2312"/>
          <w:color w:val="auto"/>
          <w:sz w:val="32"/>
          <w:szCs w:val="32"/>
          <w:highlight w:val="none"/>
          <w:lang w:eastAsia="zh-CN"/>
        </w:rPr>
        <w:t>维修（护）费、租赁费、</w:t>
      </w:r>
      <w:r>
        <w:rPr>
          <w:rFonts w:hint="eastAsia" w:ascii="仿宋_GB2312" w:hAnsi="仿宋_GB2312" w:eastAsia="仿宋_GB2312" w:cs="仿宋_GB2312"/>
          <w:color w:val="auto"/>
          <w:sz w:val="32"/>
          <w:szCs w:val="32"/>
          <w:highlight w:val="none"/>
        </w:rPr>
        <w:t>会议费、公务接待费、</w:t>
      </w:r>
      <w:r>
        <w:rPr>
          <w:rFonts w:hint="eastAsia" w:ascii="仿宋_GB2312" w:hAnsi="仿宋_GB2312" w:eastAsia="仿宋_GB2312" w:cs="仿宋_GB2312"/>
          <w:color w:val="auto"/>
          <w:sz w:val="32"/>
          <w:szCs w:val="32"/>
          <w:highlight w:val="none"/>
          <w:lang w:eastAsia="zh-CN"/>
        </w:rPr>
        <w:t>委托业务费、</w:t>
      </w:r>
      <w:r>
        <w:rPr>
          <w:rFonts w:hint="eastAsia" w:ascii="仿宋_GB2312" w:hAnsi="仿宋_GB2312" w:eastAsia="仿宋_GB2312" w:cs="仿宋_GB2312"/>
          <w:color w:val="auto"/>
          <w:sz w:val="32"/>
          <w:szCs w:val="32"/>
          <w:highlight w:val="none"/>
        </w:rPr>
        <w:t>工会经费、福利费、公务用车运行维护费、其他交通费</w:t>
      </w:r>
      <w:r>
        <w:rPr>
          <w:rFonts w:hint="eastAsia" w:ascii="仿宋_GB2312" w:hAnsi="仿宋_GB2312" w:eastAsia="仿宋_GB2312" w:cs="仿宋_GB2312"/>
          <w:color w:val="auto"/>
          <w:sz w:val="32"/>
          <w:szCs w:val="32"/>
          <w:highlight w:val="none"/>
          <w:lang w:val="en-US" w:eastAsia="zh-CN"/>
        </w:rPr>
        <w:t>用</w:t>
      </w:r>
      <w:r>
        <w:rPr>
          <w:rFonts w:hint="eastAsia" w:ascii="仿宋_GB2312" w:hAnsi="仿宋_GB2312" w:eastAsia="仿宋_GB2312" w:cs="仿宋_GB2312"/>
          <w:color w:val="auto"/>
          <w:sz w:val="32"/>
          <w:szCs w:val="32"/>
          <w:highlight w:val="none"/>
        </w:rPr>
        <w:t>、其他商品和服务支出。</w:t>
      </w:r>
      <w:bookmarkStart w:id="41" w:name="_Toc15377215"/>
      <w:bookmarkStart w:id="42" w:name="_Toc15396609"/>
    </w:p>
    <w:p>
      <w:pPr>
        <w:pageBreakBefore w:val="0"/>
        <w:kinsoku/>
        <w:wordWrap/>
        <w:overflowPunct/>
        <w:topLinePunct w:val="0"/>
        <w:bidi w:val="0"/>
        <w:spacing w:line="560" w:lineRule="exact"/>
        <w:ind w:left="0" w:leftChars="0" w:right="0" w:firstLine="640"/>
        <w:textAlignment w:val="auto"/>
        <w:outlineLvl w:val="1"/>
        <w:rPr>
          <w:rStyle w:val="18"/>
          <w:rFonts w:ascii="黑体" w:hAnsi="黑体" w:eastAsia="黑体"/>
          <w:b w:val="0"/>
          <w:color w:val="auto"/>
          <w:highlight w:val="none"/>
        </w:rPr>
      </w:pPr>
      <w:bookmarkStart w:id="43" w:name="_Toc15497"/>
      <w:r>
        <w:rPr>
          <w:rFonts w:hint="eastAsia" w:ascii="黑体" w:eastAsia="黑体"/>
          <w:color w:val="auto"/>
          <w:sz w:val="32"/>
          <w:szCs w:val="32"/>
          <w:highlight w:val="none"/>
        </w:rPr>
        <w:t>七、</w:t>
      </w:r>
      <w:r>
        <w:rPr>
          <w:rStyle w:val="18"/>
          <w:rFonts w:hint="eastAsia" w:ascii="黑体" w:hAnsi="黑体" w:eastAsia="黑体"/>
          <w:b w:val="0"/>
          <w:color w:val="auto"/>
          <w:highlight w:val="none"/>
        </w:rPr>
        <w:t>财政拨款</w:t>
      </w:r>
      <w:r>
        <w:rPr>
          <w:rStyle w:val="18"/>
          <w:rFonts w:hint="eastAsia" w:ascii="黑体" w:hAnsi="黑体" w:eastAsia="黑体"/>
          <w:color w:val="auto"/>
          <w:highlight w:val="none"/>
        </w:rPr>
        <w:t>“</w:t>
      </w:r>
      <w:r>
        <w:rPr>
          <w:rStyle w:val="18"/>
          <w:rFonts w:hint="eastAsia" w:ascii="黑体" w:hAnsi="黑体" w:eastAsia="黑体"/>
          <w:b w:val="0"/>
          <w:color w:val="auto"/>
          <w:highlight w:val="none"/>
        </w:rPr>
        <w:t>三公”经费支出决算情况说明</w:t>
      </w:r>
      <w:bookmarkEnd w:id="41"/>
      <w:bookmarkEnd w:id="42"/>
      <w:bookmarkEnd w:id="43"/>
    </w:p>
    <w:p>
      <w:pPr>
        <w:pageBreakBefore w:val="0"/>
        <w:kinsoku/>
        <w:wordWrap/>
        <w:overflowPunct/>
        <w:topLinePunct w:val="0"/>
        <w:bidi w:val="0"/>
        <w:spacing w:line="560" w:lineRule="exact"/>
        <w:ind w:left="0" w:leftChars="0" w:right="0" w:firstLine="642" w:firstLineChars="200"/>
        <w:textAlignment w:val="auto"/>
        <w:outlineLvl w:val="2"/>
        <w:rPr>
          <w:rFonts w:hint="eastAsia" w:ascii="楷体_GB2312" w:hAnsi="楷体_GB2312" w:eastAsia="楷体_GB2312" w:cs="楷体_GB2312"/>
          <w:b/>
          <w:color w:val="auto"/>
          <w:sz w:val="32"/>
          <w:szCs w:val="32"/>
          <w:highlight w:val="none"/>
        </w:rPr>
      </w:pPr>
      <w:bookmarkStart w:id="44" w:name="_Toc15377216"/>
      <w:r>
        <w:rPr>
          <w:rFonts w:hint="eastAsia" w:ascii="楷体_GB2312" w:hAnsi="楷体_GB2312" w:eastAsia="楷体_GB2312" w:cs="楷体_GB2312"/>
          <w:b/>
          <w:color w:val="auto"/>
          <w:sz w:val="32"/>
          <w:szCs w:val="32"/>
          <w:highlight w:val="none"/>
        </w:rPr>
        <w:t>（一）“三公”经费财政拨款支出决算总体情况说明</w:t>
      </w:r>
      <w:bookmarkEnd w:id="44"/>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2.85</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46.72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w:t>
      </w:r>
      <w:r>
        <w:rPr>
          <w:rFonts w:hint="eastAsia" w:ascii="仿宋_GB2312" w:hAnsi="仿宋_GB2312" w:eastAsia="仿宋_GB2312" w:cs="仿宋_GB2312"/>
          <w:color w:val="auto"/>
          <w:sz w:val="32"/>
          <w:szCs w:val="32"/>
          <w:highlight w:val="none"/>
          <w:lang w:val="en-US" w:eastAsia="zh-CN"/>
        </w:rPr>
        <w:t>增加1.67万元，增长141.53%。</w:t>
      </w:r>
      <w:r>
        <w:rPr>
          <w:rFonts w:hint="eastAsia" w:ascii="仿宋_GB2312" w:hAnsi="仿宋_GB2312" w:eastAsia="仿宋_GB2312" w:cs="仿宋_GB2312"/>
          <w:color w:val="auto"/>
          <w:sz w:val="32"/>
          <w:szCs w:val="32"/>
          <w:highlight w:val="none"/>
        </w:rPr>
        <w:t>决算数小于预算数的主要原因是</w:t>
      </w:r>
      <w:r>
        <w:rPr>
          <w:rFonts w:hint="eastAsia" w:ascii="仿宋_GB2312" w:hAnsi="仿宋_GB2312" w:eastAsia="仿宋_GB2312" w:cs="仿宋_GB2312"/>
          <w:color w:val="auto"/>
          <w:sz w:val="32"/>
          <w:szCs w:val="32"/>
          <w:highlight w:val="none"/>
          <w:lang w:eastAsia="zh-CN"/>
        </w:rPr>
        <w:t>加强“三公”经费管理，厉行节俭</w:t>
      </w:r>
      <w:r>
        <w:rPr>
          <w:rFonts w:hint="eastAsia" w:ascii="仿宋_GB2312" w:hAnsi="仿宋_GB2312" w:eastAsia="仿宋_GB2312" w:cs="仿宋_GB2312"/>
          <w:color w:val="auto"/>
          <w:sz w:val="32"/>
          <w:szCs w:val="32"/>
          <w:highlight w:val="none"/>
        </w:rPr>
        <w:t>。</w:t>
      </w:r>
    </w:p>
    <w:p>
      <w:pPr>
        <w:pageBreakBefore w:val="0"/>
        <w:kinsoku/>
        <w:wordWrap/>
        <w:overflowPunct/>
        <w:topLinePunct w:val="0"/>
        <w:bidi w:val="0"/>
        <w:spacing w:line="560" w:lineRule="exact"/>
        <w:ind w:left="0" w:leftChars="0" w:right="0" w:firstLine="642" w:firstLineChars="200"/>
        <w:textAlignment w:val="auto"/>
        <w:outlineLvl w:val="2"/>
        <w:rPr>
          <w:rFonts w:hint="eastAsia" w:ascii="楷体_GB2312" w:hAnsi="楷体_GB2312" w:eastAsia="楷体_GB2312" w:cs="楷体_GB2312"/>
          <w:b/>
          <w:color w:val="auto"/>
          <w:sz w:val="32"/>
          <w:szCs w:val="32"/>
          <w:highlight w:val="none"/>
        </w:rPr>
      </w:pPr>
      <w:bookmarkStart w:id="45" w:name="_Toc15377217"/>
      <w:r>
        <w:rPr>
          <w:rFonts w:hint="eastAsia" w:ascii="楷体_GB2312" w:hAnsi="楷体_GB2312" w:eastAsia="楷体_GB2312" w:cs="楷体_GB2312"/>
          <w:b/>
          <w:color w:val="auto"/>
          <w:sz w:val="32"/>
          <w:szCs w:val="32"/>
          <w:highlight w:val="none"/>
        </w:rPr>
        <w:t>（二）“三公”经费财政拨款支出决算具体情况说明</w:t>
      </w:r>
      <w:bookmarkEnd w:id="45"/>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年“三公”经费财政拨款支出决算中，因公出国（境）</w:t>
      </w:r>
      <w:r>
        <w:rPr>
          <w:rFonts w:hint="eastAsia" w:ascii="仿宋_GB2312" w:hAnsi="仿宋_GB2312" w:eastAsia="仿宋_GB2312" w:cs="仿宋_GB2312"/>
          <w:color w:val="auto"/>
          <w:sz w:val="32"/>
          <w:szCs w:val="32"/>
          <w:highlight w:val="none"/>
          <w:lang w:eastAsia="zh-CN"/>
        </w:rPr>
        <w:t>经费</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91.55</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0.24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8.45</w:t>
      </w:r>
      <w:r>
        <w:rPr>
          <w:rFonts w:hint="eastAsia" w:ascii="仿宋_GB2312" w:hAnsi="仿宋_GB2312" w:eastAsia="仿宋_GB2312" w:cs="仿宋_GB2312"/>
          <w:color w:val="auto"/>
          <w:sz w:val="32"/>
          <w:szCs w:val="32"/>
          <w:highlight w:val="none"/>
        </w:rPr>
        <w:t>%。具体情况如下：</w:t>
      </w:r>
    </w:p>
    <w:p>
      <w:pPr>
        <w:pStyle w:val="12"/>
        <w:ind w:left="0" w:leftChars="0" w:firstLine="0" w:firstLineChars="0"/>
        <w:jc w:val="center"/>
        <w:rPr>
          <w:rFonts w:hint="eastAsia" w:eastAsia="仿宋"/>
          <w:lang w:eastAsia="zh-CN"/>
        </w:rPr>
      </w:pPr>
      <w:r>
        <w:rPr>
          <w:rFonts w:hint="eastAsia" w:eastAsia="仿宋"/>
          <w:lang w:eastAsia="zh-CN"/>
        </w:rPr>
        <w:drawing>
          <wp:inline distT="0" distB="0" distL="114300" distR="114300">
            <wp:extent cx="4197350" cy="2513965"/>
            <wp:effectExtent l="4445" t="4445" r="8255" b="1524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ageBreakBefore w:val="0"/>
        <w:kinsoku/>
        <w:wordWrap/>
        <w:overflowPunct/>
        <w:topLinePunct w:val="0"/>
        <w:bidi w:val="0"/>
        <w:spacing w:line="560" w:lineRule="exact"/>
        <w:ind w:left="0" w:leftChars="0" w:right="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1.因公出国（境）经费支出</w:t>
      </w:r>
      <w:r>
        <w:rPr>
          <w:rFonts w:hint="eastAsia" w:ascii="仿宋_GB2312" w:hAnsi="仿宋_GB2312" w:eastAsia="仿宋_GB2312" w:cs="仿宋_GB2312"/>
          <w:color w:val="auto"/>
          <w:sz w:val="32"/>
          <w:szCs w:val="32"/>
          <w:highlight w:val="none"/>
          <w:lang w:val="en-US" w:eastAsia="zh-CN"/>
        </w:rPr>
        <w:t>0万元，年初未安排预算。因公出国（境）支出决算较2022年无变化。</w:t>
      </w:r>
    </w:p>
    <w:p>
      <w:pPr>
        <w:pageBreakBefore w:val="0"/>
        <w:kinsoku/>
        <w:wordWrap/>
        <w:overflowPunct/>
        <w:topLinePunct w:val="0"/>
        <w:bidi w:val="0"/>
        <w:spacing w:line="560" w:lineRule="exact"/>
        <w:ind w:left="0" w:leftChars="0" w:right="0"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2.公务用车购置及运行维护费支出</w:t>
      </w:r>
      <w:r>
        <w:rPr>
          <w:rFonts w:hint="eastAsia" w:ascii="仿宋_GB2312" w:hAnsi="仿宋_GB2312" w:eastAsia="仿宋_GB2312" w:cs="仿宋_GB2312"/>
          <w:color w:val="auto"/>
          <w:sz w:val="32"/>
          <w:szCs w:val="32"/>
          <w:highlight w:val="none"/>
          <w:lang w:val="en-US" w:eastAsia="zh-CN"/>
        </w:rPr>
        <w:t>2.6万元，完成预算68.42%。公务用车购置及运行维护费支出决算比2022年增加1.6万元，增长160%。主要原因</w:t>
      </w:r>
      <w:r>
        <w:rPr>
          <w:rFonts w:hint="eastAsia" w:ascii="仿宋_GB2312" w:hAnsi="仿宋_GB2312" w:eastAsia="仿宋_GB2312" w:cs="仿宋_GB2312"/>
          <w:sz w:val="32"/>
          <w:szCs w:val="32"/>
          <w:lang w:val="en-US" w:eastAsia="zh-CN"/>
        </w:rPr>
        <w:t>一是本年度我馆新增数字档案馆建设项目，因项目需要，外出考察学习较多，导致燃油费、过路费增加；二是本年度我馆公务用车发生故障维修，导致维修费增加。</w:t>
      </w:r>
    </w:p>
    <w:p>
      <w:pPr>
        <w:pageBreakBefore w:val="0"/>
        <w:kinsoku/>
        <w:wordWrap/>
        <w:overflowPunct/>
        <w:topLinePunct w:val="0"/>
        <w:bidi w:val="0"/>
        <w:spacing w:line="560" w:lineRule="exact"/>
        <w:ind w:left="0" w:leftChars="0" w:right="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公务用车购置支出</w:t>
      </w:r>
      <w:r>
        <w:rPr>
          <w:rFonts w:hint="eastAsia" w:ascii="仿宋_GB2312" w:hAnsi="仿宋_GB2312" w:eastAsia="仿宋_GB2312" w:cs="仿宋_GB2312"/>
          <w:color w:val="auto"/>
          <w:sz w:val="32"/>
          <w:szCs w:val="32"/>
          <w:highlight w:val="none"/>
          <w:lang w:val="en-US" w:eastAsia="zh-CN"/>
        </w:rPr>
        <w:t>0万元。现有车辆车况良好，未达到更换标准，全年未购置公务用车。截至2023年12月底，单位共有公务用车1辆，其中：轿车1辆。</w:t>
      </w:r>
    </w:p>
    <w:p>
      <w:pPr>
        <w:pageBreakBefore w:val="0"/>
        <w:kinsoku/>
        <w:wordWrap/>
        <w:overflowPunct/>
        <w:topLinePunct w:val="0"/>
        <w:bidi w:val="0"/>
        <w:spacing w:line="560" w:lineRule="exact"/>
        <w:ind w:left="0" w:leftChars="0" w:right="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公务用车运行维护费支出</w:t>
      </w:r>
      <w:r>
        <w:rPr>
          <w:rFonts w:hint="eastAsia" w:ascii="仿宋_GB2312" w:hAnsi="仿宋_GB2312" w:eastAsia="仿宋_GB2312" w:cs="仿宋_GB2312"/>
          <w:color w:val="auto"/>
          <w:sz w:val="32"/>
          <w:szCs w:val="32"/>
          <w:highlight w:val="none"/>
          <w:lang w:val="en-US" w:eastAsia="zh-CN"/>
        </w:rPr>
        <w:t>2.6万元。主要用于项目考察调研、集体下乡帮扶及调研出差等所需的公务用车燃料费、维修费、过路过桥费、洗车费、保险费等支出。</w:t>
      </w:r>
    </w:p>
    <w:p>
      <w:pPr>
        <w:pageBreakBefore w:val="0"/>
        <w:kinsoku/>
        <w:wordWrap/>
        <w:overflowPunct/>
        <w:topLinePunct w:val="0"/>
        <w:bidi w:val="0"/>
        <w:spacing w:line="560" w:lineRule="exact"/>
        <w:ind w:left="0" w:leftChars="0" w:right="0" w:firstLine="640"/>
        <w:textAlignment w:val="auto"/>
        <w:rPr>
          <w:rFonts w:ascii="仿宋_GB2312" w:eastAsia="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3.公务接待费支出</w:t>
      </w:r>
      <w:r>
        <w:rPr>
          <w:rFonts w:hint="eastAsia" w:ascii="仿宋_GB2312" w:hAnsi="仿宋_GB2312" w:eastAsia="仿宋_GB2312" w:cs="仿宋_GB2312"/>
          <w:color w:val="auto"/>
          <w:sz w:val="32"/>
          <w:szCs w:val="32"/>
          <w:highlight w:val="none"/>
          <w:lang w:val="en-US" w:eastAsia="zh-CN"/>
        </w:rPr>
        <w:t>0.24</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10.43</w:t>
      </w:r>
      <w:r>
        <w:rPr>
          <w:rFonts w:hint="eastAsia" w:ascii="仿宋_GB2312" w:hAnsi="仿宋_GB2312" w:eastAsia="仿宋_GB2312" w:cs="仿宋_GB2312"/>
          <w:color w:val="auto"/>
          <w:sz w:val="32"/>
          <w:szCs w:val="32"/>
          <w:highlight w:val="none"/>
        </w:rPr>
        <w:t>%。公务接待费支出决算比20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0.06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增长</w:t>
      </w:r>
      <w:r>
        <w:rPr>
          <w:rFonts w:hint="eastAsia" w:ascii="仿宋_GB2312" w:hAnsi="仿宋_GB2312" w:eastAsia="仿宋_GB2312" w:cs="仿宋_GB2312"/>
          <w:color w:val="auto"/>
          <w:sz w:val="32"/>
          <w:szCs w:val="32"/>
          <w:highlight w:val="none"/>
          <w:lang w:val="en-US" w:eastAsia="zh-CN"/>
        </w:rPr>
        <w:t>33.33</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sz w:val="32"/>
          <w:szCs w:val="32"/>
          <w:lang w:val="en-US" w:eastAsia="zh-CN"/>
        </w:rPr>
        <w:t>接待人次增加</w:t>
      </w:r>
      <w:r>
        <w:rPr>
          <w:rFonts w:hint="eastAsia" w:ascii="仿宋_GB2312" w:hAnsi="仿宋_GB2312" w:eastAsia="仿宋_GB2312" w:cs="仿宋_GB2312"/>
          <w:color w:val="auto"/>
          <w:sz w:val="32"/>
          <w:szCs w:val="32"/>
          <w:highlight w:val="none"/>
          <w:lang w:eastAsia="zh-CN"/>
        </w:rPr>
        <w:t>。其中：</w:t>
      </w:r>
    </w:p>
    <w:p>
      <w:pPr>
        <w:pageBreakBefore w:val="0"/>
        <w:kinsoku/>
        <w:wordWrap/>
        <w:overflowPunct/>
        <w:topLinePunct w:val="0"/>
        <w:bidi w:val="0"/>
        <w:spacing w:line="560" w:lineRule="exact"/>
        <w:ind w:left="0" w:leftChars="0" w:right="0" w:firstLine="640"/>
        <w:textAlignment w:val="auto"/>
        <w:rPr>
          <w:rFonts w:ascii="仿宋_GB2312" w:eastAsia="仿宋_GB2312"/>
          <w:color w:val="FF0000"/>
          <w:sz w:val="32"/>
          <w:szCs w:val="32"/>
          <w:highlight w:val="none"/>
        </w:rPr>
      </w:pPr>
      <w:r>
        <w:rPr>
          <w:rFonts w:hint="eastAsia" w:ascii="仿宋_GB2312" w:hAnsi="仿宋_GB2312" w:eastAsia="仿宋_GB2312" w:cs="仿宋_GB2312"/>
          <w:b/>
          <w:bCs/>
          <w:color w:val="auto"/>
          <w:sz w:val="32"/>
          <w:szCs w:val="32"/>
          <w:highlight w:val="none"/>
          <w:lang w:val="en-US" w:eastAsia="zh-CN"/>
        </w:rPr>
        <w:t>国内公务接待支出</w:t>
      </w:r>
      <w:r>
        <w:rPr>
          <w:rFonts w:hint="eastAsia" w:ascii="仿宋_GB2312" w:hAnsi="仿宋_GB2312" w:eastAsia="仿宋_GB2312" w:cs="仿宋_GB2312"/>
          <w:color w:val="auto"/>
          <w:sz w:val="32"/>
          <w:szCs w:val="32"/>
          <w:highlight w:val="none"/>
          <w:lang w:val="en-US" w:eastAsia="zh-CN"/>
        </w:rPr>
        <w:t>0.24</w:t>
      </w:r>
      <w:r>
        <w:rPr>
          <w:rFonts w:hint="eastAsia" w:ascii="仿宋_GB2312" w:hAnsi="仿宋_GB2312" w:eastAsia="仿宋_GB2312" w:cs="仿宋_GB2312"/>
          <w:color w:val="auto"/>
          <w:sz w:val="32"/>
          <w:szCs w:val="32"/>
          <w:highlight w:val="none"/>
        </w:rPr>
        <w:t>万元，主要用于执行公务、开展业务活动开支的用餐费。</w:t>
      </w:r>
      <w:r>
        <w:rPr>
          <w:rFonts w:hint="eastAsia" w:ascii="仿宋_GB2312" w:eastAsia="仿宋_GB2312"/>
          <w:color w:val="auto"/>
          <w:sz w:val="32"/>
          <w:szCs w:val="32"/>
          <w:highlight w:val="none"/>
        </w:rPr>
        <w:t>国内公务接待</w:t>
      </w:r>
      <w:r>
        <w:rPr>
          <w:rFonts w:hint="default" w:ascii="仿宋_GB2312" w:eastAsia="仿宋_GB2312"/>
          <w:color w:val="auto"/>
          <w:sz w:val="32"/>
          <w:szCs w:val="32"/>
          <w:highlight w:val="none"/>
          <w:lang w:val="en"/>
        </w:rPr>
        <w:t>3</w:t>
      </w:r>
      <w:r>
        <w:rPr>
          <w:rFonts w:hint="eastAsia" w:ascii="仿宋_GB2312" w:eastAsia="仿宋_GB2312"/>
          <w:color w:val="auto"/>
          <w:sz w:val="32"/>
          <w:szCs w:val="32"/>
          <w:highlight w:val="none"/>
        </w:rPr>
        <w:t>批次，</w:t>
      </w:r>
      <w:r>
        <w:rPr>
          <w:rFonts w:hint="default" w:ascii="仿宋_GB2312" w:eastAsia="仿宋_GB2312"/>
          <w:color w:val="auto"/>
          <w:sz w:val="32"/>
          <w:szCs w:val="32"/>
          <w:highlight w:val="none"/>
          <w:lang w:val="en"/>
        </w:rPr>
        <w:t>1</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人次（不包括陪同人员），共计支出</w:t>
      </w:r>
      <w:r>
        <w:rPr>
          <w:rFonts w:hint="default" w:ascii="仿宋_GB2312" w:eastAsia="仿宋_GB2312"/>
          <w:color w:val="auto"/>
          <w:sz w:val="32"/>
          <w:szCs w:val="32"/>
          <w:highlight w:val="none"/>
          <w:lang w:val="en"/>
        </w:rPr>
        <w:t>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万元，具体内容包括：</w:t>
      </w:r>
      <w:r>
        <w:rPr>
          <w:rFonts w:hint="eastAsia" w:ascii="仿宋_GB2312" w:hAnsi="仿宋_GB2312" w:eastAsia="仿宋_GB2312" w:cs="仿宋_GB2312"/>
          <w:sz w:val="32"/>
          <w:szCs w:val="32"/>
          <w:highlight w:val="none"/>
          <w:lang w:val="en-US" w:eastAsia="zh-CN"/>
        </w:rPr>
        <w:t>省档案馆一行来广开展2023年编研工作座谈会会务筹备工作接待费630元、南充市档案馆一行来我馆考察接待费750元、苍溪县档案馆一行来我馆学习接待费1040元</w:t>
      </w:r>
      <w:r>
        <w:rPr>
          <w:rFonts w:hint="eastAsia" w:ascii="仿宋_GB2312" w:eastAsia="仿宋_GB2312"/>
          <w:color w:val="auto"/>
          <w:sz w:val="32"/>
          <w:szCs w:val="32"/>
          <w:highlight w:val="none"/>
        </w:rPr>
        <w:t>。</w:t>
      </w:r>
    </w:p>
    <w:p>
      <w:pPr>
        <w:pageBreakBefore w:val="0"/>
        <w:kinsoku/>
        <w:wordWrap/>
        <w:overflowPunct/>
        <w:topLinePunct w:val="0"/>
        <w:bidi w:val="0"/>
        <w:spacing w:line="560" w:lineRule="exact"/>
        <w:ind w:left="0" w:leftChars="0" w:right="0" w:firstLine="642" w:firstLineChars="200"/>
        <w:textAlignment w:val="auto"/>
        <w:rPr>
          <w:rFonts w:hint="eastAsia" w:ascii="黑体" w:eastAsia="黑体"/>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外事接待支出</w:t>
      </w:r>
      <w:r>
        <w:rPr>
          <w:rFonts w:hint="eastAsia" w:ascii="仿宋_GB2312" w:hAnsi="仿宋_GB2312" w:eastAsia="仿宋_GB2312" w:cs="仿宋_GB2312"/>
          <w:color w:val="auto"/>
          <w:sz w:val="32"/>
          <w:szCs w:val="32"/>
          <w:highlight w:val="none"/>
          <w:lang w:val="en-US" w:eastAsia="zh-CN"/>
        </w:rPr>
        <w:t>0万元，年初未安排预算。外事接待支出决算较2022年无变化。</w:t>
      </w:r>
      <w:bookmarkStart w:id="46" w:name="_Toc15377218"/>
      <w:bookmarkStart w:id="47" w:name="_Toc15396610"/>
    </w:p>
    <w:p>
      <w:pPr>
        <w:pageBreakBefore w:val="0"/>
        <w:kinsoku/>
        <w:wordWrap/>
        <w:overflowPunct/>
        <w:topLinePunct w:val="0"/>
        <w:bidi w:val="0"/>
        <w:spacing w:line="560" w:lineRule="exact"/>
        <w:ind w:left="0" w:leftChars="0" w:right="0" w:firstLine="640"/>
        <w:textAlignment w:val="auto"/>
        <w:outlineLvl w:val="1"/>
        <w:rPr>
          <w:rStyle w:val="18"/>
          <w:rFonts w:ascii="黑体" w:hAnsi="黑体" w:eastAsia="黑体"/>
          <w:color w:val="auto"/>
          <w:highlight w:val="none"/>
        </w:rPr>
      </w:pPr>
      <w:bookmarkStart w:id="48" w:name="_Toc1932"/>
      <w:r>
        <w:rPr>
          <w:rFonts w:hint="eastAsia" w:ascii="黑体" w:eastAsia="黑体"/>
          <w:color w:val="auto"/>
          <w:sz w:val="32"/>
          <w:szCs w:val="32"/>
          <w:highlight w:val="none"/>
        </w:rPr>
        <w:t>八、</w:t>
      </w:r>
      <w:r>
        <w:rPr>
          <w:rStyle w:val="18"/>
          <w:rFonts w:hint="eastAsia" w:ascii="黑体" w:hAnsi="黑体" w:eastAsia="黑体"/>
          <w:b w:val="0"/>
          <w:color w:val="auto"/>
          <w:highlight w:val="none"/>
        </w:rPr>
        <w:t>政府性基金预算支出决算情况说明</w:t>
      </w:r>
      <w:bookmarkEnd w:id="46"/>
      <w:bookmarkEnd w:id="47"/>
      <w:bookmarkEnd w:id="48"/>
    </w:p>
    <w:p>
      <w:pPr>
        <w:pageBreakBefore w:val="0"/>
        <w:kinsoku/>
        <w:wordWrap/>
        <w:overflowPunct/>
        <w:topLinePunct w:val="0"/>
        <w:bidi w:val="0"/>
        <w:spacing w:line="560" w:lineRule="exact"/>
        <w:ind w:left="0" w:leftChars="0" w:right="0" w:firstLine="640" w:firstLineChars="200"/>
        <w:textAlignment w:val="auto"/>
        <w:rPr>
          <w:rStyle w:val="18"/>
          <w:rFonts w:hint="eastAsia" w:ascii="黑体" w:hAnsi="黑体" w:eastAsia="黑体"/>
          <w:b w:val="0"/>
          <w:color w:val="auto"/>
          <w:highlight w:val="none"/>
          <w:lang w:eastAsia="zh-CN"/>
        </w:rPr>
      </w:pPr>
      <w:r>
        <w:rPr>
          <w:rFonts w:hint="eastAsia" w:ascii="仿宋_GB2312" w:hAnsi="仿宋_GB2312" w:eastAsia="仿宋_GB2312" w:cs="仿宋_GB2312"/>
          <w:color w:val="auto"/>
          <w:sz w:val="32"/>
          <w:szCs w:val="32"/>
          <w:highlight w:val="none"/>
          <w:lang w:val="en-US" w:eastAsia="zh-CN"/>
        </w:rPr>
        <w:t>2023年政府性基金预算财政拨款支出0万元</w:t>
      </w:r>
      <w:bookmarkStart w:id="49" w:name="_Toc15396611"/>
      <w:bookmarkStart w:id="50" w:name="_Toc15377219"/>
      <w:r>
        <w:rPr>
          <w:rFonts w:hint="eastAsia" w:ascii="仿宋_GB2312" w:hAnsi="仿宋_GB2312" w:eastAsia="仿宋_GB2312" w:cs="仿宋_GB2312"/>
          <w:b w:val="0"/>
          <w:bCs w:val="0"/>
          <w:color w:val="000000"/>
          <w:sz w:val="32"/>
          <w:szCs w:val="32"/>
          <w:lang w:val="en-US" w:eastAsia="zh-CN"/>
        </w:rPr>
        <w:t>。</w:t>
      </w:r>
    </w:p>
    <w:p>
      <w:pPr>
        <w:pageBreakBefore w:val="0"/>
        <w:numPr>
          <w:ilvl w:val="0"/>
          <w:numId w:val="0"/>
        </w:numPr>
        <w:kinsoku/>
        <w:wordWrap/>
        <w:overflowPunct/>
        <w:topLinePunct w:val="0"/>
        <w:bidi w:val="0"/>
        <w:spacing w:line="560" w:lineRule="exact"/>
        <w:ind w:left="640" w:leftChars="0" w:right="0" w:rightChars="0"/>
        <w:textAlignment w:val="auto"/>
        <w:outlineLvl w:val="1"/>
        <w:rPr>
          <w:rStyle w:val="18"/>
          <w:rFonts w:ascii="黑体" w:hAnsi="黑体" w:eastAsia="黑体"/>
          <w:b w:val="0"/>
          <w:color w:val="auto"/>
          <w:highlight w:val="none"/>
        </w:rPr>
      </w:pPr>
      <w:bookmarkStart w:id="51" w:name="_Toc18109"/>
      <w:r>
        <w:rPr>
          <w:rStyle w:val="18"/>
          <w:rFonts w:hint="eastAsia" w:ascii="黑体" w:hAnsi="黑体" w:eastAsia="黑体"/>
          <w:b w:val="0"/>
          <w:color w:val="auto"/>
          <w:highlight w:val="none"/>
          <w:lang w:eastAsia="zh-CN"/>
        </w:rPr>
        <w:t>九、</w:t>
      </w:r>
      <w:r>
        <w:rPr>
          <w:rStyle w:val="18"/>
          <w:rFonts w:hint="eastAsia" w:ascii="黑体" w:hAnsi="黑体" w:eastAsia="黑体"/>
          <w:b w:val="0"/>
          <w:color w:val="auto"/>
          <w:highlight w:val="none"/>
        </w:rPr>
        <w:t>国有资本经营预算支出决算情况说明</w:t>
      </w:r>
      <w:bookmarkEnd w:id="49"/>
      <w:bookmarkEnd w:id="50"/>
      <w:bookmarkEnd w:id="51"/>
    </w:p>
    <w:p>
      <w:pPr>
        <w:pageBreakBefore w:val="0"/>
        <w:kinsoku/>
        <w:wordWrap/>
        <w:overflowPunct/>
        <w:topLinePunct w:val="0"/>
        <w:bidi w:val="0"/>
        <w:spacing w:line="560" w:lineRule="exact"/>
        <w:ind w:left="0" w:leftChars="0" w:right="0" w:firstLine="640"/>
        <w:textAlignment w:val="auto"/>
        <w:rPr>
          <w:rStyle w:val="18"/>
          <w:rFonts w:hint="eastAsia" w:ascii="黑体" w:hAnsi="黑体" w:eastAsia="黑体"/>
          <w:b w:val="0"/>
          <w:color w:val="auto"/>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val="en-US" w:eastAsia="zh-CN"/>
        </w:rPr>
        <w:t>。</w:t>
      </w:r>
      <w:bookmarkStart w:id="52" w:name="_Toc15377221"/>
      <w:bookmarkStart w:id="53" w:name="_Toc15396612"/>
    </w:p>
    <w:p>
      <w:pPr>
        <w:pageBreakBefore w:val="0"/>
        <w:numPr>
          <w:ilvl w:val="0"/>
          <w:numId w:val="0"/>
        </w:numPr>
        <w:kinsoku/>
        <w:wordWrap/>
        <w:overflowPunct/>
        <w:topLinePunct w:val="0"/>
        <w:bidi w:val="0"/>
        <w:spacing w:line="560" w:lineRule="exact"/>
        <w:ind w:left="640" w:leftChars="0" w:right="0" w:rightChars="0"/>
        <w:textAlignment w:val="auto"/>
        <w:outlineLvl w:val="1"/>
        <w:rPr>
          <w:rStyle w:val="18"/>
          <w:rFonts w:hint="eastAsia" w:ascii="黑体" w:hAnsi="黑体" w:eastAsia="黑体"/>
          <w:b w:val="0"/>
          <w:color w:val="auto"/>
          <w:highlight w:val="none"/>
        </w:rPr>
      </w:pPr>
      <w:bookmarkStart w:id="54" w:name="_Toc31602"/>
      <w:r>
        <w:rPr>
          <w:rStyle w:val="18"/>
          <w:rFonts w:hint="eastAsia" w:ascii="黑体" w:hAnsi="黑体" w:eastAsia="黑体"/>
          <w:b w:val="0"/>
          <w:color w:val="auto"/>
          <w:highlight w:val="none"/>
          <w:lang w:eastAsia="zh-CN"/>
        </w:rPr>
        <w:t>十、</w:t>
      </w:r>
      <w:r>
        <w:rPr>
          <w:rStyle w:val="18"/>
          <w:rFonts w:hint="eastAsia" w:ascii="黑体" w:hAnsi="黑体" w:eastAsia="黑体"/>
          <w:b w:val="0"/>
          <w:color w:val="auto"/>
          <w:highlight w:val="none"/>
        </w:rPr>
        <w:t>其他重要事项的情况说明</w:t>
      </w:r>
      <w:bookmarkEnd w:id="52"/>
      <w:bookmarkEnd w:id="53"/>
      <w:bookmarkEnd w:id="54"/>
    </w:p>
    <w:p>
      <w:pPr>
        <w:pageBreakBefore w:val="0"/>
        <w:kinsoku/>
        <w:wordWrap/>
        <w:overflowPunct/>
        <w:topLinePunct w:val="0"/>
        <w:bidi w:val="0"/>
        <w:spacing w:line="560" w:lineRule="exact"/>
        <w:ind w:left="0" w:leftChars="0" w:right="0" w:firstLine="642" w:firstLineChars="200"/>
        <w:textAlignment w:val="auto"/>
        <w:outlineLvl w:val="2"/>
        <w:rPr>
          <w:rFonts w:hint="eastAsia" w:ascii="楷体_GB2312" w:hAnsi="楷体_GB2312" w:eastAsia="楷体_GB2312" w:cs="楷体_GB2312"/>
          <w:color w:val="auto"/>
          <w:sz w:val="32"/>
          <w:szCs w:val="32"/>
          <w:highlight w:val="none"/>
        </w:rPr>
      </w:pPr>
      <w:bookmarkStart w:id="55" w:name="_Toc15377222"/>
      <w:r>
        <w:rPr>
          <w:rFonts w:hint="eastAsia" w:ascii="楷体_GB2312" w:hAnsi="楷体_GB2312" w:eastAsia="楷体_GB2312" w:cs="楷体_GB2312"/>
          <w:b/>
          <w:color w:val="auto"/>
          <w:sz w:val="32"/>
          <w:szCs w:val="32"/>
          <w:highlight w:val="none"/>
        </w:rPr>
        <w:t>（一）机关运行经费支出情况</w:t>
      </w:r>
      <w:bookmarkEnd w:id="55"/>
    </w:p>
    <w:p>
      <w:pPr>
        <w:pageBreakBefore w:val="0"/>
        <w:kinsoku/>
        <w:wordWrap/>
        <w:overflowPunct/>
        <w:topLinePunct w:val="0"/>
        <w:bidi w:val="0"/>
        <w:spacing w:line="560" w:lineRule="exact"/>
        <w:ind w:left="0" w:leftChars="0" w:right="0" w:firstLine="640" w:firstLineChars="200"/>
        <w:textAlignment w:val="auto"/>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市档案馆</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81.76</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5.47</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7.17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我馆2022年有新增人员调动，调入5人，机关运行成本增加</w:t>
      </w:r>
      <w:r>
        <w:rPr>
          <w:rFonts w:hint="eastAsia" w:ascii="仿宋_GB2312" w:eastAsia="仿宋_GB2312"/>
          <w:color w:val="auto"/>
          <w:sz w:val="32"/>
          <w:szCs w:val="32"/>
          <w:highlight w:val="none"/>
          <w:lang w:eastAsia="zh-CN"/>
        </w:rPr>
        <w:t>。</w:t>
      </w:r>
    </w:p>
    <w:p>
      <w:pPr>
        <w:pageBreakBefore w:val="0"/>
        <w:kinsoku/>
        <w:wordWrap/>
        <w:overflowPunct/>
        <w:topLinePunct w:val="0"/>
        <w:bidi w:val="0"/>
        <w:spacing w:line="560" w:lineRule="exact"/>
        <w:ind w:left="0" w:leftChars="0" w:right="0" w:firstLine="642" w:firstLineChars="200"/>
        <w:textAlignment w:val="auto"/>
        <w:outlineLvl w:val="2"/>
        <w:rPr>
          <w:rFonts w:hint="eastAsia" w:ascii="楷体_GB2312" w:hAnsi="楷体_GB2312" w:eastAsia="楷体_GB2312" w:cs="楷体_GB2312"/>
          <w:b/>
          <w:color w:val="auto"/>
          <w:sz w:val="32"/>
          <w:szCs w:val="32"/>
          <w:highlight w:val="none"/>
        </w:rPr>
      </w:pPr>
      <w:bookmarkStart w:id="56" w:name="_Toc15377223"/>
      <w:r>
        <w:rPr>
          <w:rFonts w:hint="eastAsia" w:ascii="楷体_GB2312" w:hAnsi="楷体_GB2312" w:eastAsia="楷体_GB2312" w:cs="楷体_GB2312"/>
          <w:b/>
          <w:color w:val="auto"/>
          <w:sz w:val="32"/>
          <w:szCs w:val="32"/>
          <w:highlight w:val="none"/>
        </w:rPr>
        <w:t>（二）政府采购支出情况</w:t>
      </w:r>
      <w:bookmarkEnd w:id="56"/>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ascii="仿宋_GB2312" w:eastAsia="仿宋_GB2312"/>
          <w:b w:val="0"/>
          <w:bCs w:val="0"/>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市档案馆</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377.40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260.16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、政府采购服务支出</w:t>
      </w:r>
      <w:r>
        <w:rPr>
          <w:rFonts w:hint="eastAsia" w:ascii="仿宋_GB2312" w:eastAsia="仿宋_GB2312"/>
          <w:color w:val="auto"/>
          <w:sz w:val="32"/>
          <w:szCs w:val="32"/>
          <w:highlight w:val="none"/>
          <w:lang w:val="en-US" w:eastAsia="zh-CN"/>
        </w:rPr>
        <w:t>117.24万元</w:t>
      </w:r>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eastAsia="zh-CN"/>
        </w:rPr>
        <w:t>数字档案馆建设</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377.40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b w:val="0"/>
          <w:bCs w:val="0"/>
          <w:color w:val="auto"/>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其中：授予小微企业合同金额117.24万元，占政府采购支出总额的31.07%。</w:t>
      </w:r>
    </w:p>
    <w:p>
      <w:pPr>
        <w:pageBreakBefore w:val="0"/>
        <w:kinsoku/>
        <w:wordWrap/>
        <w:overflowPunct/>
        <w:topLinePunct w:val="0"/>
        <w:bidi w:val="0"/>
        <w:spacing w:line="560" w:lineRule="exact"/>
        <w:ind w:left="0" w:leftChars="0" w:right="0" w:firstLine="642" w:firstLineChars="200"/>
        <w:textAlignment w:val="auto"/>
        <w:outlineLvl w:val="2"/>
        <w:rPr>
          <w:rFonts w:hint="eastAsia" w:ascii="楷体_GB2312" w:hAnsi="楷体_GB2312" w:eastAsia="楷体_GB2312" w:cs="楷体_GB2312"/>
          <w:b/>
          <w:bCs/>
          <w:color w:val="auto"/>
          <w:sz w:val="32"/>
          <w:szCs w:val="32"/>
          <w:highlight w:val="none"/>
        </w:rPr>
      </w:pPr>
      <w:bookmarkStart w:id="57" w:name="_Toc15377224"/>
      <w:r>
        <w:rPr>
          <w:rFonts w:hint="eastAsia" w:ascii="楷体_GB2312" w:hAnsi="楷体_GB2312" w:eastAsia="楷体_GB2312" w:cs="楷体_GB2312"/>
          <w:b/>
          <w:bCs/>
          <w:color w:val="auto"/>
          <w:sz w:val="32"/>
          <w:szCs w:val="32"/>
          <w:highlight w:val="none"/>
        </w:rPr>
        <w:t>（三）国有资产占有使用情况</w:t>
      </w:r>
      <w:bookmarkEnd w:id="57"/>
    </w:p>
    <w:p>
      <w:pPr>
        <w:pageBreakBefore w:val="0"/>
        <w:kinsoku/>
        <w:wordWrap/>
        <w:overflowPunct/>
        <w:topLinePunct w:val="0"/>
        <w:autoSpaceDE w:val="0"/>
        <w:autoSpaceDN w:val="0"/>
        <w:bidi w:val="0"/>
        <w:adjustRightInd w:val="0"/>
        <w:spacing w:line="560" w:lineRule="exact"/>
        <w:ind w:left="0" w:leftChars="0" w:right="0" w:firstLine="640" w:firstLineChars="200"/>
        <w:jc w:val="left"/>
        <w:textAlignment w:val="auto"/>
        <w:rPr>
          <w:rFonts w:ascii="仿宋" w:hAnsi="仿宋" w:eastAsia="仿宋"/>
          <w:b w:val="0"/>
          <w:bCs w:val="0"/>
          <w:color w:val="auto"/>
          <w:sz w:val="32"/>
          <w:szCs w:val="32"/>
          <w:highlight w:val="none"/>
        </w:rPr>
      </w:pPr>
      <w:r>
        <w:rPr>
          <w:rFonts w:hint="eastAsia" w:ascii="仿宋_GB2312" w:eastAsia="仿宋_GB2312"/>
          <w:b w:val="0"/>
          <w:bCs w:val="0"/>
          <w:color w:val="auto"/>
          <w:sz w:val="32"/>
          <w:szCs w:val="32"/>
          <w:highlight w:val="none"/>
        </w:rPr>
        <w:t>截至</w:t>
      </w: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23</w:t>
      </w:r>
      <w:r>
        <w:rPr>
          <w:rFonts w:hint="eastAsia" w:ascii="仿宋_GB2312" w:eastAsia="仿宋_GB2312"/>
          <w:b w:val="0"/>
          <w:bCs w:val="0"/>
          <w:color w:val="auto"/>
          <w:sz w:val="32"/>
          <w:szCs w:val="32"/>
          <w:highlight w:val="none"/>
        </w:rPr>
        <w:t>年</w:t>
      </w:r>
      <w:r>
        <w:rPr>
          <w:rFonts w:ascii="仿宋_GB2312" w:eastAsia="仿宋_GB2312"/>
          <w:b w:val="0"/>
          <w:bCs w:val="0"/>
          <w:color w:val="auto"/>
          <w:sz w:val="32"/>
          <w:szCs w:val="32"/>
          <w:highlight w:val="none"/>
        </w:rPr>
        <w:t>12</w:t>
      </w:r>
      <w:r>
        <w:rPr>
          <w:rFonts w:hint="eastAsia" w:ascii="仿宋_GB2312" w:eastAsia="仿宋_GB2312"/>
          <w:b w:val="0"/>
          <w:bCs w:val="0"/>
          <w:color w:val="auto"/>
          <w:sz w:val="32"/>
          <w:szCs w:val="32"/>
          <w:highlight w:val="none"/>
        </w:rPr>
        <w:t>月</w:t>
      </w:r>
      <w:r>
        <w:rPr>
          <w:rFonts w:ascii="仿宋_GB2312" w:eastAsia="仿宋_GB2312"/>
          <w:b w:val="0"/>
          <w:bCs w:val="0"/>
          <w:color w:val="auto"/>
          <w:sz w:val="32"/>
          <w:szCs w:val="32"/>
          <w:highlight w:val="none"/>
        </w:rPr>
        <w:t>31</w:t>
      </w:r>
      <w:r>
        <w:rPr>
          <w:rFonts w:hint="eastAsia" w:ascii="仿宋_GB2312" w:eastAsia="仿宋_GB2312"/>
          <w:b w:val="0"/>
          <w:bCs w:val="0"/>
          <w:color w:val="auto"/>
          <w:sz w:val="32"/>
          <w:szCs w:val="32"/>
          <w:highlight w:val="none"/>
        </w:rPr>
        <w:t>日，</w:t>
      </w:r>
      <w:r>
        <w:rPr>
          <w:rFonts w:hint="eastAsia" w:ascii="仿宋_GB2312" w:eastAsia="仿宋_GB2312"/>
          <w:b w:val="0"/>
          <w:bCs w:val="0"/>
          <w:color w:val="auto"/>
          <w:sz w:val="32"/>
          <w:szCs w:val="32"/>
          <w:highlight w:val="none"/>
          <w:lang w:eastAsia="zh-CN"/>
        </w:rPr>
        <w:t>市档案馆</w:t>
      </w:r>
      <w:r>
        <w:rPr>
          <w:rFonts w:hint="eastAsia" w:ascii="仿宋_GB2312" w:eastAsia="仿宋_GB2312"/>
          <w:b w:val="0"/>
          <w:bCs w:val="0"/>
          <w:color w:val="auto"/>
          <w:sz w:val="32"/>
          <w:szCs w:val="32"/>
          <w:highlight w:val="none"/>
        </w:rPr>
        <w:t>共有车辆</w:t>
      </w:r>
      <w:r>
        <w:rPr>
          <w:rFonts w:hint="eastAsia" w:ascii="仿宋_GB2312" w:eastAsia="仿宋_GB2312"/>
          <w:b w:val="0"/>
          <w:bCs w:val="0"/>
          <w:color w:val="auto"/>
          <w:sz w:val="32"/>
          <w:szCs w:val="32"/>
          <w:highlight w:val="none"/>
          <w:lang w:val="en-US" w:eastAsia="zh-CN"/>
        </w:rPr>
        <w:t>1</w:t>
      </w:r>
      <w:r>
        <w:rPr>
          <w:rFonts w:hint="eastAsia" w:ascii="仿宋_GB2312" w:eastAsia="仿宋_GB2312"/>
          <w:b w:val="0"/>
          <w:bCs w:val="0"/>
          <w:color w:val="auto"/>
          <w:sz w:val="32"/>
          <w:szCs w:val="32"/>
          <w:highlight w:val="none"/>
        </w:rPr>
        <w:t>辆，其中：应急保障用车</w:t>
      </w:r>
      <w:r>
        <w:rPr>
          <w:rFonts w:hint="eastAsia" w:ascii="仿宋_GB2312" w:eastAsia="仿宋_GB2312"/>
          <w:b w:val="0"/>
          <w:bCs w:val="0"/>
          <w:color w:val="auto"/>
          <w:sz w:val="32"/>
          <w:szCs w:val="32"/>
          <w:highlight w:val="none"/>
          <w:lang w:val="en-US" w:eastAsia="zh-CN"/>
        </w:rPr>
        <w:t>1</w:t>
      </w:r>
      <w:r>
        <w:rPr>
          <w:rFonts w:hint="eastAsia" w:ascii="仿宋_GB2312" w:eastAsia="仿宋_GB2312"/>
          <w:b w:val="0"/>
          <w:bCs w:val="0"/>
          <w:color w:val="auto"/>
          <w:sz w:val="32"/>
          <w:szCs w:val="32"/>
          <w:highlight w:val="none"/>
        </w:rPr>
        <w:t>辆</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单价</w:t>
      </w:r>
      <w:r>
        <w:rPr>
          <w:rFonts w:ascii="仿宋_GB2312" w:eastAsia="仿宋_GB2312"/>
          <w:b w:val="0"/>
          <w:bCs w:val="0"/>
          <w:color w:val="auto"/>
          <w:sz w:val="32"/>
          <w:szCs w:val="32"/>
          <w:highlight w:val="none"/>
        </w:rPr>
        <w:t>100</w:t>
      </w:r>
      <w:r>
        <w:rPr>
          <w:rFonts w:hint="eastAsia" w:ascii="仿宋_GB2312" w:eastAsia="仿宋_GB2312"/>
          <w:b w:val="0"/>
          <w:bCs w:val="0"/>
          <w:color w:val="auto"/>
          <w:sz w:val="32"/>
          <w:szCs w:val="32"/>
          <w:highlight w:val="none"/>
        </w:rPr>
        <w:t>万元以上专用设备</w:t>
      </w:r>
      <w:r>
        <w:rPr>
          <w:rFonts w:hint="eastAsia" w:ascii="仿宋_GB2312" w:eastAsia="仿宋_GB2312"/>
          <w:b w:val="0"/>
          <w:bCs w:val="0"/>
          <w:color w:val="auto"/>
          <w:sz w:val="32"/>
          <w:szCs w:val="32"/>
          <w:highlight w:val="none"/>
          <w:lang w:val="en-US" w:eastAsia="zh-CN"/>
        </w:rPr>
        <w:t>1</w:t>
      </w:r>
      <w:r>
        <w:rPr>
          <w:rFonts w:hint="eastAsia" w:ascii="仿宋_GB2312" w:eastAsia="仿宋_GB2312"/>
          <w:b w:val="0"/>
          <w:bCs w:val="0"/>
          <w:color w:val="auto"/>
          <w:sz w:val="32"/>
          <w:szCs w:val="32"/>
          <w:highlight w:val="none"/>
        </w:rPr>
        <w:t>台（套）。</w:t>
      </w:r>
    </w:p>
    <w:p>
      <w:pPr>
        <w:pageBreakBefore w:val="0"/>
        <w:kinsoku/>
        <w:wordWrap/>
        <w:overflowPunct/>
        <w:topLinePunct w:val="0"/>
        <w:bidi w:val="0"/>
        <w:spacing w:line="560" w:lineRule="exact"/>
        <w:ind w:left="0" w:leftChars="0" w:right="0" w:firstLine="642"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（四）预算绩效管理情况</w:t>
      </w:r>
    </w:p>
    <w:p>
      <w:pPr>
        <w:pageBreakBefore w:val="0"/>
        <w:widowControl/>
        <w:kinsoku/>
        <w:wordWrap/>
        <w:overflowPunct/>
        <w:topLinePunct w:val="0"/>
        <w:bidi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大楼运行维护项目、乡村振兴战略帮扶队项目、档案保管保护与开发项目、数字档案馆建设项目、四川省档案事业发展专项资金</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w:t>
      </w:r>
    </w:p>
    <w:p>
      <w:pPr>
        <w:pStyle w:val="23"/>
        <w:keepNext w:val="0"/>
        <w:keepLines w:val="0"/>
        <w:pageBreakBefore w:val="0"/>
        <w:widowControl w:val="0"/>
        <w:shd w:val="clear" w:color="auto" w:fill="auto"/>
        <w:kinsoku/>
        <w:wordWrap/>
        <w:overflowPunct/>
        <w:topLinePunct w:val="0"/>
        <w:autoSpaceDE/>
        <w:autoSpaceDN/>
        <w:bidi w:val="0"/>
        <w:spacing w:beforeAutospacing="0" w:afterAutospacing="0" w:line="576" w:lineRule="exact"/>
        <w:ind w:left="0" w:leftChars="0" w:firstLine="640" w:firstLineChars="200"/>
        <w:jc w:val="left"/>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highlight w:val="none"/>
        </w:rPr>
        <w:t>组织对202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年度一般公共预算开展绩效自评，形成</w:t>
      </w:r>
      <w:r>
        <w:rPr>
          <w:rFonts w:hint="eastAsia" w:ascii="仿宋_GB2312" w:hAnsi="仿宋_GB2312" w:eastAsia="仿宋_GB2312" w:cs="仿宋_GB2312"/>
          <w:color w:val="auto"/>
          <w:sz w:val="32"/>
          <w:szCs w:val="32"/>
          <w:highlight w:val="none"/>
          <w:lang w:eastAsia="zh-CN"/>
        </w:rPr>
        <w:t>广元市档案馆</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eastAsia="zh-CN"/>
        </w:rPr>
        <w:t>、广元市档案馆</w:t>
      </w:r>
      <w:r>
        <w:rPr>
          <w:rFonts w:hint="eastAsia" w:ascii="仿宋_GB2312" w:hAnsi="仿宋_GB2312" w:eastAsia="仿宋_GB2312" w:cs="仿宋_GB2312"/>
          <w:color w:val="auto"/>
          <w:sz w:val="32"/>
          <w:szCs w:val="32"/>
          <w:highlight w:val="none"/>
          <w:lang w:val="en-US" w:eastAsia="zh-CN"/>
        </w:rPr>
        <w:t>四川省档案事业发展专项资金绩效自评报告，</w:t>
      </w: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color w:val="auto"/>
          <w:sz w:val="32"/>
          <w:szCs w:val="32"/>
          <w:highlight w:val="none"/>
          <w:lang w:eastAsia="zh-CN"/>
        </w:rPr>
        <w:t>广元市档案馆</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93.07</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en-US" w:eastAsia="zh-CN"/>
        </w:rPr>
        <w:t>全年人员类支出保障了单位职工薪金及福利待遇按时足额发放，运转类支出保证了部门正常运行和日常工作的正常开展，特定目标类支出保障了档案重点业务工作的开展，基本达到预期绩效目标。</w:t>
      </w:r>
      <w:r>
        <w:rPr>
          <w:rFonts w:hint="eastAsia" w:ascii="仿宋_GB2312" w:hAnsi="仿宋_GB2312" w:eastAsia="仿宋_GB2312" w:cs="仿宋_GB2312"/>
          <w:color w:val="auto"/>
          <w:sz w:val="32"/>
          <w:szCs w:val="32"/>
          <w:highlight w:val="none"/>
          <w:lang w:eastAsia="zh-CN"/>
        </w:rPr>
        <w:t>广元市档案馆</w:t>
      </w:r>
      <w:r>
        <w:rPr>
          <w:rFonts w:hint="eastAsia" w:ascii="仿宋_GB2312" w:hAnsi="仿宋_GB2312" w:eastAsia="仿宋_GB2312" w:cs="仿宋_GB2312"/>
          <w:color w:val="auto"/>
          <w:sz w:val="32"/>
          <w:szCs w:val="32"/>
          <w:highlight w:val="none"/>
          <w:lang w:val="en-US" w:eastAsia="zh-CN"/>
        </w:rPr>
        <w:t>四川省档案事业发展专项资金绩效自评得分100分，绩效自评综述：全年如期完成项目各项绩效目标，进一步推动了档案信息化、标准化和规范化建设，达到了便捷服务群众的目的。</w:t>
      </w:r>
      <w:r>
        <w:rPr>
          <w:rFonts w:hint="eastAsia" w:ascii="仿宋_GB2312" w:hAnsi="仿宋_GB2312" w:eastAsia="仿宋_GB2312" w:cs="仿宋_GB2312"/>
          <w:color w:val="auto"/>
          <w:sz w:val="32"/>
          <w:szCs w:val="32"/>
          <w:highlight w:val="none"/>
        </w:rPr>
        <w:t>绩效自评报告详见附件。</w:t>
      </w:r>
    </w:p>
    <w:p>
      <w:pPr>
        <w:pageBreakBefore w:val="0"/>
        <w:widowControl/>
        <w:kinsoku/>
        <w:wordWrap/>
        <w:overflowPunct/>
        <w:topLinePunct w:val="0"/>
        <w:bidi w:val="0"/>
        <w:spacing w:line="560" w:lineRule="exact"/>
        <w:ind w:left="0" w:leftChars="0" w:right="0" w:firstLine="642" w:firstLineChars="200"/>
        <w:jc w:val="center"/>
        <w:textAlignment w:val="auto"/>
        <w:outlineLvl w:val="0"/>
        <w:rPr>
          <w:rStyle w:val="17"/>
          <w:rFonts w:ascii="黑体" w:hAnsi="黑体" w:eastAsia="黑体"/>
          <w:b w:val="0"/>
          <w:color w:val="auto"/>
          <w:highlight w:val="none"/>
        </w:rPr>
      </w:pPr>
      <w:r>
        <w:rPr>
          <w:rFonts w:ascii="仿宋_GB2312" w:eastAsia="仿宋_GB2312"/>
          <w:b/>
          <w:color w:val="auto"/>
          <w:sz w:val="32"/>
          <w:szCs w:val="32"/>
          <w:highlight w:val="yellow"/>
        </w:rPr>
        <w:br w:type="page"/>
      </w:r>
      <w:bookmarkStart w:id="58" w:name="_Toc15377225"/>
      <w:bookmarkStart w:id="59" w:name="_Toc15396613"/>
      <w:bookmarkStart w:id="60" w:name="_Toc19882"/>
      <w:r>
        <w:rPr>
          <w:rStyle w:val="17"/>
          <w:rFonts w:hint="eastAsia" w:ascii="黑体" w:hAnsi="黑体" w:eastAsia="黑体" w:cs="Times New Roman"/>
          <w:b w:val="0"/>
          <w:color w:val="auto"/>
          <w:highlight w:val="none"/>
          <w:lang w:eastAsia="zh-CN"/>
        </w:rPr>
        <w:t>第三部分</w:t>
      </w:r>
      <w:r>
        <w:rPr>
          <w:rStyle w:val="17"/>
          <w:rFonts w:hint="eastAsia" w:ascii="黑体" w:hAnsi="黑体" w:eastAsia="黑体" w:cs="Times New Roman"/>
          <w:b w:val="0"/>
          <w:color w:val="auto"/>
          <w:highlight w:val="none"/>
          <w:lang w:val="en-US" w:eastAsia="zh-CN"/>
        </w:rPr>
        <w:t xml:space="preserve"> </w:t>
      </w:r>
      <w:r>
        <w:rPr>
          <w:rFonts w:hint="eastAsia" w:ascii="黑体" w:hAnsi="黑体" w:eastAsia="黑体"/>
          <w:color w:val="auto"/>
          <w:sz w:val="44"/>
          <w:szCs w:val="44"/>
          <w:highlight w:val="none"/>
        </w:rPr>
        <w:t>名</w:t>
      </w:r>
      <w:r>
        <w:rPr>
          <w:rStyle w:val="17"/>
          <w:rFonts w:hint="eastAsia" w:ascii="黑体" w:hAnsi="黑体" w:eastAsia="黑体"/>
          <w:b w:val="0"/>
          <w:color w:val="auto"/>
          <w:highlight w:val="none"/>
        </w:rPr>
        <w:t>词解释</w:t>
      </w:r>
      <w:bookmarkEnd w:id="58"/>
      <w:bookmarkEnd w:id="59"/>
      <w:bookmarkEnd w:id="60"/>
    </w:p>
    <w:p>
      <w:pPr>
        <w:pageBreakBefore w:val="0"/>
        <w:kinsoku/>
        <w:wordWrap/>
        <w:overflowPunct/>
        <w:topLinePunct w:val="0"/>
        <w:bidi w:val="0"/>
        <w:spacing w:line="560" w:lineRule="exact"/>
        <w:ind w:left="0" w:leftChars="0" w:right="0"/>
        <w:jc w:val="left"/>
        <w:textAlignment w:val="auto"/>
        <w:rPr>
          <w:rFonts w:ascii="宋体"/>
          <w:b/>
          <w:color w:val="auto"/>
          <w:sz w:val="44"/>
          <w:szCs w:val="44"/>
          <w:highlight w:val="none"/>
        </w:rPr>
      </w:pPr>
    </w:p>
    <w:p>
      <w:pPr>
        <w:pStyle w:val="20"/>
        <w:keepNext w:val="0"/>
        <w:keepLines w:val="0"/>
        <w:pageBreakBefore w:val="0"/>
        <w:widowControl w:val="0"/>
        <w:numPr>
          <w:ilvl w:val="0"/>
          <w:numId w:val="0"/>
        </w:numPr>
        <w:kinsoku/>
        <w:wordWrap/>
        <w:overflowPunct/>
        <w:topLinePunct w:val="0"/>
        <w:bidi w:val="0"/>
        <w:snapToGrid/>
        <w:spacing w:line="558" w:lineRule="exact"/>
        <w:ind w:firstLine="640" w:firstLineChars="200"/>
        <w:textAlignment w:val="auto"/>
        <w:outlineLvl w:val="1"/>
        <w:rPr>
          <w:rFonts w:hint="eastAsia" w:ascii="仿宋_GB2312" w:eastAsia="仿宋_GB2312"/>
          <w:color w:val="auto"/>
          <w:sz w:val="32"/>
          <w:szCs w:val="32"/>
          <w:highlight w:val="none"/>
          <w:lang w:eastAsia="zh-CN"/>
        </w:rPr>
      </w:pPr>
      <w:bookmarkStart w:id="61" w:name="_Toc28777"/>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财政拨款收入：指</w:t>
      </w:r>
      <w:r>
        <w:rPr>
          <w:rFonts w:hint="eastAsia" w:ascii="仿宋_GB2312" w:eastAsia="仿宋_GB2312"/>
          <w:color w:val="auto"/>
          <w:sz w:val="32"/>
          <w:szCs w:val="32"/>
          <w:highlight w:val="none"/>
          <w:lang w:eastAsia="zh-CN"/>
        </w:rPr>
        <w:t>市级财政当年拨付的资金。</w:t>
      </w:r>
      <w:bookmarkEnd w:id="61"/>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3.一般公共服务（类）档案事务（款）行政运行（项）：指单位的人员工资及日常工作基本支出。</w:t>
      </w:r>
    </w:p>
    <w:p>
      <w:pPr>
        <w:pStyle w:val="5"/>
        <w:ind w:firstLine="640" w:firstLineChars="200"/>
        <w:rPr>
          <w:rFonts w:hint="default"/>
          <w:highlight w:val="none"/>
          <w:lang w:val="en-US"/>
        </w:rPr>
      </w:pPr>
      <w:r>
        <w:rPr>
          <w:rFonts w:hint="eastAsia" w:hAnsi="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一般公共服务（类）档案事务（款）</w:t>
      </w:r>
      <w:r>
        <w:rPr>
          <w:rFonts w:hint="eastAsia" w:hAnsi="仿宋_GB2312" w:cs="仿宋_GB2312"/>
          <w:color w:val="auto"/>
          <w:kern w:val="2"/>
          <w:sz w:val="32"/>
          <w:szCs w:val="32"/>
          <w:highlight w:val="none"/>
          <w:lang w:val="en-US" w:eastAsia="zh-CN" w:bidi="ar-SA"/>
        </w:rPr>
        <w:t>一般行政管理事务</w:t>
      </w:r>
      <w:r>
        <w:rPr>
          <w:rFonts w:hint="eastAsia" w:ascii="仿宋_GB2312" w:hAnsi="仿宋_GB2312" w:eastAsia="仿宋_GB2312" w:cs="仿宋_GB2312"/>
          <w:color w:val="auto"/>
          <w:kern w:val="2"/>
          <w:sz w:val="32"/>
          <w:szCs w:val="32"/>
          <w:highlight w:val="none"/>
          <w:lang w:val="en-US" w:eastAsia="zh-CN" w:bidi="ar-SA"/>
        </w:rPr>
        <w:t>（项）</w:t>
      </w:r>
      <w:r>
        <w:rPr>
          <w:rFonts w:hint="eastAsia" w:hAnsi="仿宋_GB2312" w:cs="仿宋_GB2312"/>
          <w:color w:val="auto"/>
          <w:kern w:val="2"/>
          <w:sz w:val="32"/>
          <w:szCs w:val="32"/>
          <w:highlight w:val="none"/>
          <w:lang w:val="en-US" w:eastAsia="zh-CN" w:bidi="ar-SA"/>
        </w:rPr>
        <w:t>：指乡村</w:t>
      </w:r>
      <w:r>
        <w:rPr>
          <w:rFonts w:hint="eastAsia" w:ascii="仿宋_GB2312" w:hAnsi="仿宋_GB2312" w:eastAsia="仿宋_GB2312" w:cs="仿宋_GB2312"/>
          <w:color w:val="auto"/>
          <w:kern w:val="2"/>
          <w:sz w:val="32"/>
          <w:szCs w:val="32"/>
          <w:highlight w:val="none"/>
          <w:lang w:val="en-US" w:eastAsia="zh-CN" w:bidi="ar-SA"/>
        </w:rPr>
        <w:t>振兴战略帮扶队驻村补助及交通等方面支出。</w:t>
      </w:r>
    </w:p>
    <w:p>
      <w:pPr>
        <w:keepNext w:val="0"/>
        <w:keepLines w:val="0"/>
        <w:pageBreakBefore w:val="0"/>
        <w:widowControl w:val="0"/>
        <w:kinsoku/>
        <w:wordWrap/>
        <w:overflowPunct/>
        <w:topLinePunct w:val="0"/>
        <w:bidi w:val="0"/>
        <w:snapToGrid/>
        <w:spacing w:line="558"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5.一般公共服务（类）档案事务（款）档案馆（项）：指</w:t>
      </w:r>
      <w:r>
        <w:rPr>
          <w:rFonts w:hint="eastAsia" w:hAnsi="仿宋_GB2312" w:eastAsia="仿宋_GB2312" w:cs="仿宋_GB2312"/>
          <w:color w:val="auto"/>
          <w:kern w:val="2"/>
          <w:sz w:val="32"/>
          <w:szCs w:val="32"/>
          <w:highlight w:val="none"/>
          <w:lang w:val="en-US" w:eastAsia="zh-CN" w:bidi="ar-SA"/>
        </w:rPr>
        <w:t>档案综合大楼运行、</w:t>
      </w:r>
      <w:r>
        <w:rPr>
          <w:rFonts w:hint="eastAsia" w:ascii="仿宋_GB2312" w:hAnsi="仿宋_GB2312" w:eastAsia="仿宋_GB2312" w:cs="仿宋_GB2312"/>
          <w:color w:val="auto"/>
          <w:kern w:val="2"/>
          <w:sz w:val="32"/>
          <w:szCs w:val="32"/>
          <w:highlight w:val="none"/>
          <w:lang w:val="en-US" w:eastAsia="zh-CN" w:bidi="ar-SA"/>
        </w:rPr>
        <w:t>档案资料征集，档案保护、编纂，档案信息资源开发、提供、利用，档案馆设备购置、维护，档案陈列展览等方面支出。</w:t>
      </w:r>
    </w:p>
    <w:p>
      <w:pPr>
        <w:pStyle w:val="5"/>
        <w:ind w:firstLine="640" w:firstLineChars="200"/>
        <w:rPr>
          <w:rFonts w:hint="default"/>
          <w:highlight w:val="none"/>
          <w:lang w:val="en-US" w:eastAsia="zh-CN"/>
        </w:rPr>
      </w:pPr>
      <w:r>
        <w:rPr>
          <w:rFonts w:hint="eastAsia" w:hAnsi="仿宋_GB2312" w:cs="仿宋_GB2312"/>
          <w:color w:val="auto"/>
          <w:kern w:val="2"/>
          <w:sz w:val="32"/>
          <w:szCs w:val="32"/>
          <w:highlight w:val="none"/>
          <w:lang w:val="en-US" w:eastAsia="zh-CN" w:bidi="ar-SA"/>
        </w:rPr>
        <w:t>6.</w:t>
      </w:r>
      <w:r>
        <w:rPr>
          <w:rFonts w:hint="eastAsia" w:ascii="仿宋_GB2312" w:hAnsi="仿宋_GB2312" w:eastAsia="仿宋_GB2312" w:cs="仿宋_GB2312"/>
          <w:color w:val="auto"/>
          <w:kern w:val="2"/>
          <w:sz w:val="32"/>
          <w:szCs w:val="32"/>
          <w:highlight w:val="none"/>
          <w:lang w:val="en-US" w:eastAsia="zh-CN" w:bidi="ar-SA"/>
        </w:rPr>
        <w:t>一般公共服务（类）档案事务（款）</w:t>
      </w:r>
      <w:r>
        <w:rPr>
          <w:rFonts w:hint="eastAsia" w:hAnsi="仿宋_GB2312" w:cs="仿宋_GB2312"/>
          <w:color w:val="auto"/>
          <w:kern w:val="2"/>
          <w:sz w:val="32"/>
          <w:szCs w:val="32"/>
          <w:highlight w:val="none"/>
          <w:lang w:val="en-US" w:eastAsia="zh-CN" w:bidi="ar-SA"/>
        </w:rPr>
        <w:t>其他档案事务支出</w:t>
      </w:r>
      <w:r>
        <w:rPr>
          <w:rFonts w:hint="eastAsia" w:ascii="仿宋_GB2312" w:hAnsi="仿宋_GB2312" w:eastAsia="仿宋_GB2312" w:cs="仿宋_GB2312"/>
          <w:color w:val="auto"/>
          <w:kern w:val="2"/>
          <w:sz w:val="32"/>
          <w:szCs w:val="32"/>
          <w:highlight w:val="none"/>
          <w:lang w:val="en-US" w:eastAsia="zh-CN" w:bidi="ar-SA"/>
        </w:rPr>
        <w:t>（项）：</w:t>
      </w:r>
      <w:r>
        <w:rPr>
          <w:rFonts w:hint="eastAsia" w:hAnsi="仿宋_GB2312" w:cs="仿宋_GB2312"/>
          <w:color w:val="auto"/>
          <w:kern w:val="2"/>
          <w:sz w:val="32"/>
          <w:szCs w:val="32"/>
          <w:highlight w:val="none"/>
          <w:lang w:val="en-US" w:eastAsia="zh-CN" w:bidi="ar-SA"/>
        </w:rPr>
        <w:t>指四川省档案事业发展专项资金支出。</w:t>
      </w:r>
    </w:p>
    <w:p>
      <w:pPr>
        <w:keepNext w:val="0"/>
        <w:keepLines w:val="0"/>
        <w:pageBreakBefore w:val="0"/>
        <w:widowControl w:val="0"/>
        <w:kinsoku/>
        <w:wordWrap/>
        <w:overflowPunct/>
        <w:topLinePunct w:val="0"/>
        <w:bidi w:val="0"/>
        <w:snapToGrid/>
        <w:spacing w:line="55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7.社会保障和就业（类）行政事业单位养老支出（款）机关事业单位基本养老保险缴费支出（项）：</w:t>
      </w:r>
      <w:r>
        <w:rPr>
          <w:rFonts w:hint="eastAsia" w:ascii="仿宋_GB2312" w:hAnsi="仿宋_GB2312" w:eastAsia="仿宋_GB2312" w:cs="仿宋_GB2312"/>
          <w:sz w:val="32"/>
          <w:szCs w:val="32"/>
          <w:lang w:eastAsia="zh-CN"/>
        </w:rPr>
        <w:t>指机关事业单位实施养老保险制度由</w:t>
      </w:r>
      <w:r>
        <w:rPr>
          <w:rFonts w:hint="eastAsia" w:ascii="仿宋_GB2312" w:hAnsi="仿宋_GB2312" w:eastAsia="仿宋_GB2312" w:cs="仿宋_GB2312"/>
          <w:color w:val="auto"/>
          <w:kern w:val="2"/>
          <w:sz w:val="32"/>
          <w:szCs w:val="32"/>
          <w:lang w:val="en-US" w:eastAsia="zh-CN" w:bidi="ar-SA"/>
        </w:rPr>
        <w:t>单位实际缴纳的基本养老保险费支出。</w:t>
      </w:r>
    </w:p>
    <w:p>
      <w:pPr>
        <w:pStyle w:val="12"/>
        <w:keepNext w:val="0"/>
        <w:keepLines w:val="0"/>
        <w:pageBreakBefore w:val="0"/>
        <w:widowControl w:val="0"/>
        <w:kinsoku/>
        <w:wordWrap/>
        <w:overflowPunct/>
        <w:topLinePunct w:val="0"/>
        <w:bidi w:val="0"/>
        <w:snapToGrid/>
        <w:spacing w:after="0" w:line="558"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社会保障和就业（类）行政事业单位</w:t>
      </w:r>
      <w:r>
        <w:rPr>
          <w:rFonts w:hint="eastAsia" w:ascii="仿宋_GB2312" w:hAnsi="仿宋_GB2312" w:eastAsia="仿宋_GB2312" w:cs="仿宋_GB2312"/>
          <w:color w:val="auto"/>
          <w:kern w:val="2"/>
          <w:sz w:val="32"/>
          <w:szCs w:val="32"/>
          <w:lang w:val="en-US" w:eastAsia="zh-CN" w:bidi="ar-SA"/>
        </w:rPr>
        <w:t>养老支出</w:t>
      </w:r>
      <w:r>
        <w:rPr>
          <w:rFonts w:hint="eastAsia" w:ascii="仿宋_GB2312" w:hAnsi="仿宋_GB2312" w:eastAsia="仿宋_GB2312" w:cs="仿宋_GB2312"/>
          <w:sz w:val="32"/>
          <w:szCs w:val="32"/>
        </w:rPr>
        <w:t>（款）机关事业单位</w:t>
      </w:r>
      <w:r>
        <w:rPr>
          <w:rFonts w:hint="eastAsia" w:ascii="仿宋_GB2312" w:hAnsi="仿宋_GB2312" w:eastAsia="仿宋_GB2312" w:cs="仿宋_GB2312"/>
          <w:sz w:val="32"/>
          <w:szCs w:val="32"/>
          <w:lang w:eastAsia="zh-CN"/>
        </w:rPr>
        <w:t>职业年金缴费支出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：指机关事业单位实施养老保险制度由单位实际缴纳的职业年金支出。</w:t>
      </w:r>
    </w:p>
    <w:p>
      <w:pPr>
        <w:pStyle w:val="12"/>
        <w:keepNext w:val="0"/>
        <w:keepLines w:val="0"/>
        <w:pageBreakBefore w:val="0"/>
        <w:widowControl w:val="0"/>
        <w:kinsoku/>
        <w:wordWrap/>
        <w:overflowPunct/>
        <w:topLinePunct w:val="0"/>
        <w:bidi w:val="0"/>
        <w:snapToGrid/>
        <w:spacing w:after="0" w:line="558" w:lineRule="exact"/>
        <w:ind w:left="0" w:leftChars="0" w:firstLine="640" w:firstLineChars="200"/>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9.社会保障和就业（类）抚恤（款）死亡抚恤（项）：</w:t>
      </w:r>
      <w:r>
        <w:rPr>
          <w:rFonts w:hint="eastAsia" w:ascii="仿宋_GB2312" w:hAnsi="仿宋_GB2312" w:eastAsia="仿宋_GB2312" w:cs="仿宋_GB2312"/>
          <w:sz w:val="32"/>
          <w:szCs w:val="32"/>
          <w:highlight w:val="none"/>
          <w:lang w:eastAsia="zh-CN"/>
        </w:rPr>
        <w:t>指</w:t>
      </w:r>
      <w:r>
        <w:rPr>
          <w:rFonts w:hint="eastAsia" w:ascii="仿宋_GB2312" w:hAnsi="仿宋_GB2312" w:eastAsia="仿宋_GB2312" w:cs="仿宋_GB2312"/>
          <w:sz w:val="32"/>
          <w:szCs w:val="32"/>
          <w:lang w:eastAsia="zh-CN"/>
        </w:rPr>
        <w:t>按规定用于病故人员家属一次性抚恤金及丧葬补助费。</w:t>
      </w:r>
    </w:p>
    <w:p>
      <w:pPr>
        <w:pageBreakBefore w:val="0"/>
        <w:kinsoku/>
        <w:wordWrap/>
        <w:overflowPunct/>
        <w:topLinePunct w:val="0"/>
        <w:bidi w:val="0"/>
        <w:spacing w:line="560" w:lineRule="exact"/>
        <w:ind w:left="0" w:leftChars="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社会保障和就业（类）</w:t>
      </w:r>
      <w:r>
        <w:rPr>
          <w:rFonts w:hint="eastAsia" w:ascii="仿宋_GB2312" w:hAnsi="仿宋_GB2312" w:eastAsia="仿宋_GB2312" w:cs="仿宋_GB2312"/>
          <w:sz w:val="32"/>
          <w:szCs w:val="32"/>
          <w:lang w:eastAsia="zh-CN"/>
        </w:rPr>
        <w:t>其他社会保障和就业（款）其他社会保障和就业</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：专指除养老、医疗以外的其他用于社会保障和就业方面的支出，例如失业保险、工伤保险等。</w:t>
      </w:r>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行政事业单位医疗</w:t>
      </w:r>
      <w:r>
        <w:rPr>
          <w:rFonts w:hint="eastAsia" w:ascii="仿宋_GB2312" w:hAnsi="仿宋_GB2312" w:eastAsia="仿宋_GB2312" w:cs="仿宋_GB2312"/>
          <w:sz w:val="32"/>
          <w:szCs w:val="32"/>
        </w:rPr>
        <w:t>（款）事业单位医疗（项）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指单位为职工缴纳</w:t>
      </w:r>
      <w:r>
        <w:rPr>
          <w:rFonts w:hint="eastAsia" w:ascii="仿宋_GB2312" w:hAnsi="仿宋_GB2312" w:eastAsia="仿宋_GB2312" w:cs="仿宋_GB2312"/>
          <w:sz w:val="32"/>
          <w:szCs w:val="32"/>
          <w:lang w:eastAsia="zh-CN"/>
        </w:rPr>
        <w:t>的基本医疗保险缴费经费</w:t>
      </w:r>
      <w:r>
        <w:rPr>
          <w:rFonts w:hint="eastAsia" w:ascii="仿宋_GB2312" w:hAnsi="仿宋_GB2312" w:eastAsia="仿宋_GB2312" w:cs="仿宋_GB2312"/>
          <w:sz w:val="32"/>
          <w:szCs w:val="32"/>
        </w:rPr>
        <w:t>。</w:t>
      </w:r>
    </w:p>
    <w:p>
      <w:pPr>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hAnsi="仿宋_GB2312" w:eastAsia="仿宋_GB2312" w:cs="仿宋_GB2312"/>
          <w:sz w:val="32"/>
          <w:szCs w:val="32"/>
        </w:rPr>
        <w:t>住房保障（类）住房改革（款）住房公积金（项）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行政事业</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按人力资源和社会保障部、财政部规定的基本工资和津贴补贴以及规定比例</w:t>
      </w:r>
      <w:r>
        <w:rPr>
          <w:rFonts w:hint="eastAsia" w:ascii="仿宋_GB2312" w:hAnsi="仿宋_GB2312" w:eastAsia="仿宋_GB2312" w:cs="仿宋_GB2312"/>
          <w:sz w:val="32"/>
          <w:szCs w:val="32"/>
        </w:rPr>
        <w:t>为职工缴纳的住房公积金。</w:t>
      </w:r>
    </w:p>
    <w:p>
      <w:pPr>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p>
    <w:p>
      <w:pPr>
        <w:pStyle w:val="20"/>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0"/>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机关运行经费：为保障行政单位（含参照公务员法管理的事业单位）运行用于购买货物和服务的各项资金，包括办公及印刷费、差旅费、会议费、</w:t>
      </w:r>
      <w:r>
        <w:rPr>
          <w:rFonts w:hint="eastAsia" w:ascii="仿宋_GB2312" w:eastAsia="仿宋_GB2312"/>
          <w:color w:val="auto"/>
          <w:sz w:val="32"/>
          <w:szCs w:val="32"/>
          <w:highlight w:val="none"/>
          <w:lang w:eastAsia="zh-CN"/>
        </w:rPr>
        <w:t>培训费、</w:t>
      </w:r>
      <w:r>
        <w:rPr>
          <w:rFonts w:hint="eastAsia" w:ascii="仿宋_GB2312" w:eastAsia="仿宋_GB2312"/>
          <w:color w:val="auto"/>
          <w:sz w:val="32"/>
          <w:szCs w:val="32"/>
          <w:highlight w:val="none"/>
        </w:rPr>
        <w:t>福利费、</w:t>
      </w:r>
      <w:r>
        <w:rPr>
          <w:rFonts w:hint="eastAsia" w:ascii="仿宋_GB2312" w:eastAsia="仿宋_GB2312"/>
          <w:color w:val="auto"/>
          <w:sz w:val="32"/>
          <w:szCs w:val="32"/>
          <w:highlight w:val="none"/>
          <w:lang w:eastAsia="zh-CN"/>
        </w:rPr>
        <w:t>劳务费、公务接待费、</w:t>
      </w:r>
      <w:r>
        <w:rPr>
          <w:rFonts w:hint="eastAsia" w:ascii="仿宋_GB2312" w:eastAsia="仿宋_GB2312"/>
          <w:color w:val="auto"/>
          <w:sz w:val="32"/>
          <w:szCs w:val="32"/>
          <w:highlight w:val="none"/>
        </w:rPr>
        <w:t>公务用车运行维护费以及其他费用。</w:t>
      </w:r>
    </w:p>
    <w:p>
      <w:pPr>
        <w:pageBreakBefore w:val="0"/>
        <w:kinsoku/>
        <w:wordWrap/>
        <w:overflowPunct/>
        <w:topLinePunct w:val="0"/>
        <w:bidi w:val="0"/>
        <w:spacing w:line="560" w:lineRule="exact"/>
        <w:ind w:left="0" w:leftChars="0" w:right="0"/>
        <w:jc w:val="center"/>
        <w:textAlignment w:val="auto"/>
        <w:outlineLvl w:val="0"/>
        <w:rPr>
          <w:rStyle w:val="17"/>
          <w:rFonts w:hint="eastAsia" w:ascii="黑体" w:hAnsi="黑体" w:eastAsia="黑体"/>
          <w:b w:val="0"/>
          <w:color w:val="auto"/>
          <w:highlight w:val="none"/>
          <w:lang w:eastAsia="zh-CN"/>
        </w:rPr>
      </w:pPr>
      <w:bookmarkStart w:id="62" w:name="_Toc15377226"/>
      <w:r>
        <w:rPr>
          <w:rFonts w:ascii="宋体"/>
          <w:b/>
          <w:color w:val="auto"/>
          <w:sz w:val="44"/>
          <w:szCs w:val="44"/>
          <w:highlight w:val="none"/>
        </w:rPr>
        <w:br w:type="page"/>
      </w:r>
      <w:bookmarkStart w:id="63" w:name="_Toc15396614"/>
      <w:bookmarkStart w:id="64" w:name="_Toc15523"/>
      <w:r>
        <w:rPr>
          <w:rFonts w:hint="eastAsia" w:ascii="黑体" w:hAnsi="黑体" w:eastAsia="黑体"/>
          <w:color w:val="auto"/>
          <w:sz w:val="44"/>
          <w:szCs w:val="44"/>
          <w:highlight w:val="none"/>
        </w:rPr>
        <w:t>第</w:t>
      </w:r>
      <w:r>
        <w:rPr>
          <w:rStyle w:val="17"/>
          <w:rFonts w:hint="eastAsia" w:ascii="黑体" w:hAnsi="黑体" w:eastAsia="黑体"/>
          <w:b w:val="0"/>
          <w:color w:val="auto"/>
          <w:highlight w:val="none"/>
        </w:rPr>
        <w:t>四部分 附件</w:t>
      </w:r>
      <w:bookmarkEnd w:id="63"/>
      <w:bookmarkEnd w:id="64"/>
    </w:p>
    <w:p>
      <w:pPr>
        <w:keepNext w:val="0"/>
        <w:keepLines w:val="0"/>
        <w:pageBreakBefore w:val="0"/>
        <w:kinsoku/>
        <w:wordWrap/>
        <w:overflowPunct/>
        <w:topLinePunct w:val="0"/>
        <w:autoSpaceDE/>
        <w:autoSpaceDN/>
        <w:bidi w:val="0"/>
        <w:spacing w:line="560" w:lineRule="exact"/>
        <w:ind w:left="0" w:leftChars="0" w:right="0"/>
        <w:jc w:val="left"/>
        <w:textAlignment w:val="auto"/>
        <w:outlineLvl w:val="1"/>
        <w:rPr>
          <w:rFonts w:hint="eastAsia" w:ascii="黑体" w:hAnsi="黑体" w:eastAsia="黑体" w:cs="黑体"/>
          <w:color w:val="auto"/>
          <w:sz w:val="32"/>
          <w:szCs w:val="32"/>
          <w:highlight w:val="none"/>
          <w:lang w:val="en-US" w:eastAsia="zh-CN"/>
        </w:rPr>
      </w:pPr>
      <w:bookmarkStart w:id="65" w:name="_Toc30849"/>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65"/>
    </w:p>
    <w:p>
      <w:pPr>
        <w:pStyle w:val="12"/>
        <w:keepNext w:val="0"/>
        <w:keepLines w:val="0"/>
        <w:pageBreakBefore w:val="0"/>
        <w:widowControl w:val="0"/>
        <w:kinsoku/>
        <w:wordWrap/>
        <w:topLinePunct w:val="0"/>
        <w:autoSpaceDE/>
        <w:autoSpaceDN/>
        <w:bidi w:val="0"/>
        <w:spacing w:beforeAutospacing="0" w:after="0" w:afterAutospacing="0" w:line="576" w:lineRule="exact"/>
        <w:ind w:left="0" w:leftChars="0"/>
        <w:textAlignment w:val="auto"/>
      </w:pPr>
    </w:p>
    <w:p>
      <w:pPr>
        <w:keepNext w:val="0"/>
        <w:keepLines w:val="0"/>
        <w:pageBreakBefore w:val="0"/>
        <w:widowControl w:val="0"/>
        <w:kinsoku/>
        <w:wordWrap/>
        <w:overflowPunct/>
        <w:topLinePunct w:val="0"/>
        <w:autoSpaceDE/>
        <w:autoSpaceDN/>
        <w:bidi w:val="0"/>
        <w:spacing w:beforeAutospacing="0" w:afterAutospacing="0" w:line="576" w:lineRule="exact"/>
        <w:ind w:left="0" w:leftChars="0"/>
        <w:contextualSpacing/>
        <w:jc w:val="center"/>
        <w:textAlignment w:val="auto"/>
        <w:rPr>
          <w:rFonts w:hint="eastAsia" w:ascii="方正小标宋简体" w:hAnsi="方正小标宋简体" w:eastAsia="方正小标宋简体" w:cs="方正小标宋简体"/>
          <w:b w:val="0"/>
          <w:bCs w:val="0"/>
          <w:spacing w:val="-20"/>
          <w:sz w:val="44"/>
          <w:szCs w:val="44"/>
          <w:highlight w:val="none"/>
          <w:shd w:val="clear" w:color="auto" w:fill="FFFFFF"/>
        </w:rPr>
      </w:pPr>
      <w:bookmarkStart w:id="66" w:name="_Toc2027894685_WPSOffice_Level2"/>
      <w:bookmarkStart w:id="67" w:name="_Toc1109348497_WPSOffice_Level2"/>
      <w:r>
        <w:rPr>
          <w:rFonts w:hint="eastAsia" w:ascii="方正小标宋简体" w:hAnsi="方正小标宋简体" w:eastAsia="方正小标宋简体" w:cs="方正小标宋简体"/>
          <w:b w:val="0"/>
          <w:bCs w:val="0"/>
          <w:spacing w:val="-20"/>
          <w:sz w:val="44"/>
          <w:szCs w:val="44"/>
          <w:highlight w:val="none"/>
          <w:shd w:val="clear" w:color="auto" w:fill="FFFFFF"/>
        </w:rPr>
        <w:t>20</w:t>
      </w:r>
      <w:r>
        <w:rPr>
          <w:rFonts w:hint="eastAsia" w:ascii="方正小标宋简体" w:hAnsi="方正小标宋简体" w:eastAsia="方正小标宋简体" w:cs="方正小标宋简体"/>
          <w:b w:val="0"/>
          <w:bCs w:val="0"/>
          <w:spacing w:val="-20"/>
          <w:sz w:val="44"/>
          <w:szCs w:val="44"/>
          <w:highlight w:val="none"/>
          <w:shd w:val="clear" w:color="auto" w:fill="FFFFFF"/>
          <w:lang w:val="en-US" w:eastAsia="zh-CN"/>
        </w:rPr>
        <w:t>23</w:t>
      </w:r>
      <w:r>
        <w:rPr>
          <w:rFonts w:hint="eastAsia" w:ascii="方正小标宋简体" w:hAnsi="方正小标宋简体" w:eastAsia="方正小标宋简体" w:cs="方正小标宋简体"/>
          <w:b w:val="0"/>
          <w:bCs w:val="0"/>
          <w:spacing w:val="-20"/>
          <w:sz w:val="44"/>
          <w:szCs w:val="44"/>
          <w:highlight w:val="none"/>
          <w:shd w:val="clear" w:color="auto" w:fill="FFFFFF"/>
        </w:rPr>
        <w:t>年</w:t>
      </w:r>
      <w:r>
        <w:rPr>
          <w:rFonts w:hint="eastAsia" w:ascii="方正小标宋简体" w:hAnsi="方正小标宋简体" w:eastAsia="方正小标宋简体" w:cs="方正小标宋简体"/>
          <w:b w:val="0"/>
          <w:bCs w:val="0"/>
          <w:spacing w:val="-20"/>
          <w:sz w:val="44"/>
          <w:szCs w:val="44"/>
          <w:highlight w:val="none"/>
          <w:shd w:val="clear" w:color="auto" w:fill="FFFFFF"/>
          <w:lang w:eastAsia="zh-CN"/>
        </w:rPr>
        <w:t>广元市档案馆</w:t>
      </w:r>
      <w:r>
        <w:rPr>
          <w:rFonts w:hint="eastAsia" w:ascii="方正小标宋简体" w:hAnsi="方正小标宋简体" w:eastAsia="方正小标宋简体" w:cs="方正小标宋简体"/>
          <w:b w:val="0"/>
          <w:bCs w:val="0"/>
          <w:spacing w:val="-20"/>
          <w:sz w:val="44"/>
          <w:szCs w:val="44"/>
          <w:highlight w:val="none"/>
          <w:shd w:val="clear" w:color="auto" w:fill="FFFFFF"/>
        </w:rPr>
        <w:t>部门整体</w:t>
      </w:r>
      <w:r>
        <w:rPr>
          <w:rFonts w:hint="eastAsia" w:ascii="方正小标宋简体" w:hAnsi="方正小标宋简体" w:eastAsia="方正小标宋简体" w:cs="方正小标宋简体"/>
          <w:b w:val="0"/>
          <w:bCs w:val="0"/>
          <w:spacing w:val="-20"/>
          <w:sz w:val="44"/>
          <w:szCs w:val="44"/>
          <w:highlight w:val="none"/>
          <w:shd w:val="clear" w:color="auto" w:fill="FFFFFF"/>
          <w:lang w:eastAsia="zh-CN"/>
        </w:rPr>
        <w:t>支出</w:t>
      </w:r>
      <w:r>
        <w:rPr>
          <w:rFonts w:hint="eastAsia" w:ascii="方正小标宋简体" w:hAnsi="方正小标宋简体" w:eastAsia="方正小标宋简体" w:cs="方正小标宋简体"/>
          <w:b w:val="0"/>
          <w:bCs w:val="0"/>
          <w:spacing w:val="-20"/>
          <w:sz w:val="44"/>
          <w:szCs w:val="44"/>
          <w:highlight w:val="none"/>
          <w:shd w:val="clear" w:color="auto" w:fill="FFFFFF"/>
        </w:rPr>
        <w:t>绩效</w:t>
      </w:r>
      <w:r>
        <w:rPr>
          <w:rFonts w:hint="eastAsia" w:ascii="方正小标宋简体" w:hAnsi="方正小标宋简体" w:eastAsia="方正小标宋简体" w:cs="方正小标宋简体"/>
          <w:b w:val="0"/>
          <w:bCs w:val="0"/>
          <w:spacing w:val="-20"/>
          <w:sz w:val="44"/>
          <w:szCs w:val="44"/>
          <w:highlight w:val="none"/>
          <w:shd w:val="clear" w:color="auto" w:fill="FFFFFF"/>
          <w:lang w:eastAsia="zh-CN"/>
        </w:rPr>
        <w:t>自评</w:t>
      </w:r>
      <w:r>
        <w:rPr>
          <w:rFonts w:hint="eastAsia" w:ascii="方正小标宋简体" w:hAnsi="方正小标宋简体" w:eastAsia="方正小标宋简体" w:cs="方正小标宋简体"/>
          <w:b w:val="0"/>
          <w:bCs w:val="0"/>
          <w:spacing w:val="-20"/>
          <w:sz w:val="44"/>
          <w:szCs w:val="44"/>
          <w:highlight w:val="none"/>
          <w:shd w:val="clear" w:color="auto" w:fill="FFFFFF"/>
        </w:rPr>
        <w:t>报告</w:t>
      </w:r>
      <w:bookmarkEnd w:id="66"/>
      <w:bookmarkEnd w:id="67"/>
    </w:p>
    <w:p>
      <w:pPr>
        <w:pStyle w:val="2"/>
        <w:keepNext w:val="0"/>
        <w:keepLines w:val="0"/>
        <w:pageBreakBefore w:val="0"/>
        <w:widowControl w:val="0"/>
        <w:kinsoku/>
        <w:wordWrap/>
        <w:topLinePunct w:val="0"/>
        <w:autoSpaceDE/>
        <w:autoSpaceDN/>
        <w:bidi w:val="0"/>
        <w:spacing w:before="0" w:beforeAutospacing="0" w:after="0" w:afterAutospacing="0" w:line="576" w:lineRule="exact"/>
        <w:ind w:left="420" w:leftChars="0"/>
        <w:textAlignment w:val="auto"/>
        <w:rPr>
          <w:rFonts w:hint="eastAsia"/>
          <w:lang w:eastAsia="zh-CN"/>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76" w:lineRule="exact"/>
        <w:ind w:left="0" w:leftChars="0" w:firstLine="640" w:firstLineChars="200"/>
        <w:contextualSpacing/>
        <w:jc w:val="both"/>
        <w:textAlignment w:val="auto"/>
        <w:outlineLvl w:val="9"/>
        <w:rPr>
          <w:rFonts w:hint="default" w:ascii="Times New Roman" w:hAnsi="Times New Roman" w:cs="Times New Roman"/>
          <w:sz w:val="32"/>
          <w:szCs w:val="32"/>
        </w:rPr>
      </w:pPr>
      <w:r>
        <w:rPr>
          <w:rFonts w:hint="eastAsia"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contextualSpacing/>
        <w:jc w:val="both"/>
        <w:textAlignment w:val="auto"/>
        <w:rPr>
          <w:rFonts w:hint="default" w:eastAsia="仿宋_GB2312"/>
          <w:sz w:val="32"/>
          <w:szCs w:val="32"/>
          <w:lang w:val="en-US" w:eastAsia="zh-CN"/>
        </w:rPr>
      </w:pPr>
      <w:r>
        <w:rPr>
          <w:rFonts w:hint="eastAsia" w:eastAsia="楷体_GB2312" w:cs="Times New Roman"/>
          <w:b w:val="0"/>
          <w:bCs w:val="0"/>
          <w:color w:val="000000"/>
          <w:kern w:val="0"/>
          <w:sz w:val="32"/>
          <w:szCs w:val="32"/>
          <w:highlight w:val="none"/>
          <w:shd w:val="clear" w:color="auto" w:fill="FFFFFF"/>
          <w:lang w:val="zh-CN"/>
        </w:rPr>
        <w:t>（一）</w:t>
      </w:r>
      <w:r>
        <w:rPr>
          <w:rFonts w:hint="default" w:ascii="Times New Roman" w:hAnsi="Times New Roman" w:eastAsia="楷体_GB2312" w:cs="Times New Roman"/>
          <w:b w:val="0"/>
          <w:bCs w:val="0"/>
          <w:color w:val="000000"/>
          <w:kern w:val="0"/>
          <w:sz w:val="32"/>
          <w:szCs w:val="32"/>
          <w:highlight w:val="none"/>
          <w:shd w:val="clear" w:color="auto" w:fill="FFFFFF"/>
          <w:lang w:val="zh-CN"/>
        </w:rPr>
        <w:t>机构组成。</w:t>
      </w:r>
      <w:r>
        <w:rPr>
          <w:rFonts w:hint="eastAsia" w:ascii="仿宋_GB2312" w:hAnsi="仿宋_GB2312" w:eastAsia="仿宋_GB2312" w:cs="仿宋_GB2312"/>
          <w:b w:val="0"/>
          <w:bCs w:val="0"/>
          <w:color w:val="000000"/>
          <w:kern w:val="0"/>
          <w:sz w:val="32"/>
          <w:szCs w:val="32"/>
          <w:lang w:val="zh-CN" w:eastAsia="zh-CN" w:bidi="ar"/>
        </w:rPr>
        <w:t>广元市档案馆为市委直属参公事业单位，</w:t>
      </w:r>
      <w:r>
        <w:rPr>
          <w:rFonts w:hint="eastAsia" w:ascii="仿宋_GB2312" w:hAnsi="仿宋_GB2312" w:eastAsia="仿宋_GB2312" w:cs="仿宋_GB2312"/>
          <w:b w:val="0"/>
          <w:bCs w:val="0"/>
          <w:color w:val="000000"/>
          <w:kern w:val="0"/>
          <w:sz w:val="32"/>
          <w:szCs w:val="32"/>
          <w:lang w:val="en-US" w:eastAsia="zh-CN" w:bidi="ar"/>
        </w:rPr>
        <w:t>内设一室六科，即办公室、接收征集科、保管保护科、编研开发科、宣传文化科、服务利用科、信息技术科。</w:t>
      </w:r>
      <w:r>
        <w:rPr>
          <w:rFonts w:hint="eastAsia" w:ascii="仿宋_GB2312" w:hAnsi="仿宋_GB2312" w:eastAsia="仿宋_GB2312" w:cs="仿宋_GB2312"/>
          <w:b w:val="0"/>
          <w:bCs w:val="0"/>
          <w:color w:val="000000"/>
          <w:kern w:val="0"/>
          <w:sz w:val="32"/>
          <w:szCs w:val="32"/>
          <w:lang w:val="zh-CN" w:eastAsia="zh-CN" w:bidi="ar"/>
        </w:rPr>
        <w:t>代管</w:t>
      </w:r>
      <w:r>
        <w:rPr>
          <w:rFonts w:hint="eastAsia" w:ascii="仿宋_GB2312" w:hAnsi="仿宋_GB2312" w:eastAsia="仿宋_GB2312" w:cs="仿宋_GB2312"/>
          <w:b w:val="0"/>
          <w:bCs w:val="0"/>
          <w:color w:val="000000"/>
          <w:kern w:val="0"/>
          <w:sz w:val="32"/>
          <w:szCs w:val="32"/>
          <w:lang w:val="en-US" w:eastAsia="zh-CN" w:bidi="ar"/>
        </w:rPr>
        <w:t>市现行文件服务中心，未独立核算。</w:t>
      </w:r>
    </w:p>
    <w:p>
      <w:pPr>
        <w:keepNext w:val="0"/>
        <w:keepLines w:val="0"/>
        <w:pageBreakBefore w:val="0"/>
        <w:widowControl w:val="0"/>
        <w:suppressLineNumbers w:val="0"/>
        <w:kinsoku/>
        <w:wordWrap/>
        <w:overflowPunct w:val="0"/>
        <w:topLinePunct w:val="0"/>
        <w:autoSpaceDE/>
        <w:autoSpaceDN/>
        <w:bidi w:val="0"/>
        <w:spacing w:beforeAutospacing="0" w:afterAutospacing="0" w:line="576" w:lineRule="exact"/>
        <w:ind w:left="0" w:leftChars="0" w:firstLine="640" w:firstLineChars="200"/>
        <w:jc w:val="both"/>
        <w:textAlignment w:val="auto"/>
        <w:rPr>
          <w:rFonts w:hint="default" w:ascii="仿宋_GB2312" w:hAnsi="仿宋_GB2312" w:eastAsia="仿宋_GB2312" w:cs="仿宋_GB2312"/>
          <w:b w:val="0"/>
          <w:bCs w:val="0"/>
          <w:color w:val="000000"/>
          <w:kern w:val="0"/>
          <w:sz w:val="32"/>
          <w:szCs w:val="32"/>
          <w:lang w:val="zh-CN" w:eastAsia="zh-CN" w:bidi="ar"/>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（二）机构职能</w:t>
      </w:r>
      <w:r>
        <w:rPr>
          <w:rFonts w:hint="eastAsia" w:eastAsia="楷体_GB2312" w:cs="Times New Roman"/>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lang w:val="en-US" w:eastAsia="zh-CN" w:bidi="ar"/>
        </w:rPr>
        <w:t>贯彻落实党的路线方针政策和有关档案管理的法律、法规、规章制度，做好档案“收、管、用”，维护档案完整与安全，保守党和国家秘密。依法接收市级各机关、团体、事业单位、国有企业及其下属单位的档案；接收市级重大活动等形成的档案；征集对国家和社会具有长久保存价值的重要档案、资料，开展主动建档存史工作。组织实施馆藏档案整理、鉴定、保管、保护、解密、划控、开放和销毁工作。负责馆藏档案信息化，推动数字档案馆和市级档案、资料目录中心建设，依法接收电子档案，建立电子文件备份中心，确保数字档案资源安全。开展档案利用工作，依法向社会提供档案、资料和已公开的现行文件，开展民生档案等跨馆查档服务。负责馆藏档案资源开发工作，开展档案资政服务，编研档案史料，开发档案文化产品，举办档案展览，建设管理爱国主义教育基地，开展档案社会宣传教育。对县（区）档案馆业务进行指导。组织开展档案学术研究、馆际合作和业务交流。完成市委、市政府交办的其他任务。</w:t>
      </w:r>
    </w:p>
    <w:p>
      <w:pPr>
        <w:keepNext w:val="0"/>
        <w:keepLines w:val="0"/>
        <w:pageBreakBefore w:val="0"/>
        <w:widowControl w:val="0"/>
        <w:kinsoku/>
        <w:wordWrap/>
        <w:overflowPunct w:val="0"/>
        <w:topLinePunct w:val="0"/>
        <w:autoSpaceDE/>
        <w:autoSpaceDN/>
        <w:bidi w:val="0"/>
        <w:snapToGrid w:val="0"/>
        <w:spacing w:beforeAutospacing="0" w:afterAutospacing="0" w:line="576" w:lineRule="exact"/>
        <w:ind w:left="0" w:leftChars="0" w:firstLine="640" w:firstLineChars="200"/>
        <w:jc w:val="both"/>
        <w:textAlignment w:val="auto"/>
        <w:rPr>
          <w:rFonts w:hint="default" w:ascii="Times New Roman" w:hAnsi="Times New Roman" w:cs="Times New Roman"/>
          <w:b w:val="0"/>
          <w:bCs w:val="0"/>
          <w:sz w:val="32"/>
          <w:szCs w:val="32"/>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eastAsia="楷体_GB2312" w:cs="Times New Roman"/>
          <w:b w:val="0"/>
          <w:bCs w:val="0"/>
          <w:color w:val="000000"/>
          <w:kern w:val="0"/>
          <w:sz w:val="32"/>
          <w:szCs w:val="32"/>
          <w:highlight w:val="none"/>
          <w:shd w:val="clear" w:color="auto" w:fill="FFFFFF"/>
          <w:lang w:val="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rPr>
        <w:t>）人员概况</w:t>
      </w:r>
      <w:r>
        <w:rPr>
          <w:rFonts w:hint="eastAsia" w:eastAsia="楷体_GB2312" w:cs="Times New Roman"/>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lang w:val="zh-CN" w:eastAsia="zh-CN" w:bidi="ar"/>
        </w:rPr>
        <w:t>广元市档案馆参公事业编制数</w:t>
      </w:r>
      <w:r>
        <w:rPr>
          <w:rFonts w:hint="eastAsia" w:ascii="仿宋_GB2312" w:hAnsi="仿宋_GB2312" w:eastAsia="仿宋_GB2312" w:cs="仿宋_GB2312"/>
          <w:b w:val="0"/>
          <w:bCs w:val="0"/>
          <w:color w:val="000000"/>
          <w:kern w:val="0"/>
          <w:sz w:val="32"/>
          <w:szCs w:val="32"/>
          <w:lang w:val="en-US" w:eastAsia="zh-CN" w:bidi="ar"/>
        </w:rPr>
        <w:t>22个，工勤事业编制数2个，代管单位市现行文件服务中心事业编制数8个。截至202</w:t>
      </w:r>
      <w:r>
        <w:rPr>
          <w:rFonts w:hint="default" w:ascii="仿宋_GB2312" w:hAnsi="仿宋_GB2312" w:eastAsia="仿宋_GB2312" w:cs="仿宋_GB2312"/>
          <w:b w:val="0"/>
          <w:bCs w:val="0"/>
          <w:color w:val="000000"/>
          <w:kern w:val="0"/>
          <w:sz w:val="32"/>
          <w:szCs w:val="32"/>
          <w:lang w:val="en" w:eastAsia="zh-CN" w:bidi="ar"/>
        </w:rPr>
        <w:t>3</w:t>
      </w:r>
      <w:r>
        <w:rPr>
          <w:rFonts w:hint="eastAsia" w:ascii="仿宋_GB2312" w:hAnsi="仿宋_GB2312" w:eastAsia="仿宋_GB2312" w:cs="仿宋_GB2312"/>
          <w:b w:val="0"/>
          <w:bCs w:val="0"/>
          <w:color w:val="000000"/>
          <w:kern w:val="0"/>
          <w:sz w:val="32"/>
          <w:szCs w:val="32"/>
          <w:lang w:val="en-US" w:eastAsia="zh-CN" w:bidi="ar"/>
        </w:rPr>
        <w:t>年末，实有在职人员32人，其中参公事业人员23人，其他事业人员8人，工勤人员1人。</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contextualSpacing/>
        <w:jc w:val="both"/>
        <w:textAlignment w:val="auto"/>
        <w:outlineLvl w:val="9"/>
        <w:rPr>
          <w:rFonts w:hint="default" w:ascii="Times New Roman" w:hAnsi="Times New Roman" w:eastAsia="黑体" w:cs="Times New Roman"/>
          <w:b w:val="0"/>
          <w:bCs w:val="0"/>
          <w:color w:val="000000"/>
          <w:kern w:val="0"/>
          <w:sz w:val="32"/>
          <w:szCs w:val="32"/>
          <w:highlight w:val="none"/>
          <w:shd w:val="clear" w:color="auto" w:fill="FFFFFF"/>
        </w:rPr>
      </w:pPr>
      <w:r>
        <w:rPr>
          <w:rFonts w:hint="default" w:ascii="Times New Roman" w:hAnsi="Times New Roman" w:eastAsia="黑体" w:cs="Times New Roman"/>
          <w:b w:val="0"/>
          <w:bCs w:val="0"/>
          <w:color w:val="000000"/>
          <w:kern w:val="0"/>
          <w:sz w:val="32"/>
          <w:szCs w:val="32"/>
          <w:highlight w:val="none"/>
          <w:shd w:val="clear" w:color="auto" w:fill="FFFFFF"/>
        </w:rPr>
        <w:t>二、</w:t>
      </w:r>
      <w:r>
        <w:rPr>
          <w:rFonts w:hint="default" w:ascii="Times New Roman" w:hAnsi="Times New Roman" w:eastAsia="黑体" w:cs="Times New Roman"/>
          <w:b w:val="0"/>
          <w:bCs w:val="0"/>
          <w:color w:val="000000"/>
          <w:kern w:val="0"/>
          <w:sz w:val="32"/>
          <w:szCs w:val="32"/>
          <w:highlight w:val="none"/>
          <w:shd w:val="clear" w:color="auto" w:fill="FFFFFF"/>
          <w:lang w:eastAsia="zh-CN"/>
        </w:rPr>
        <w:t>部门</w:t>
      </w:r>
      <w:r>
        <w:rPr>
          <w:rFonts w:hint="default" w:ascii="Times New Roman" w:hAnsi="Times New Roman" w:eastAsia="黑体" w:cs="Times New Roman"/>
          <w:b w:val="0"/>
          <w:bCs w:val="0"/>
          <w:color w:val="000000"/>
          <w:kern w:val="0"/>
          <w:sz w:val="32"/>
          <w:szCs w:val="32"/>
          <w:highlight w:val="none"/>
          <w:shd w:val="clear" w:color="auto" w:fill="FFFFFF"/>
        </w:rPr>
        <w:t>资金收支情况</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contextualSpacing/>
        <w:jc w:val="both"/>
        <w:textAlignment w:val="auto"/>
        <w:outlineLvl w:val="9"/>
        <w:rPr>
          <w:rFonts w:hint="default" w:ascii="Times New Roman" w:hAnsi="Times New Roman" w:eastAsia="楷体_GB2312" w:cs="Times New Roman"/>
          <w:b w:val="0"/>
          <w:bCs w:val="0"/>
          <w:color w:val="000000"/>
          <w:kern w:val="0"/>
          <w:sz w:val="32"/>
          <w:szCs w:val="32"/>
          <w:highlight w:val="none"/>
          <w:shd w:val="clear" w:color="auto" w:fill="FFFFFF"/>
          <w:lang w:val="en-US"/>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w:t>
      </w:r>
      <w:r>
        <w:rPr>
          <w:rFonts w:hint="eastAsia" w:eastAsia="楷体_GB2312" w:cs="Times New Roman"/>
          <w:b w:val="0"/>
          <w:bCs w:val="0"/>
          <w:color w:val="000000"/>
          <w:kern w:val="0"/>
          <w:sz w:val="32"/>
          <w:szCs w:val="32"/>
          <w:highlight w:val="none"/>
          <w:shd w:val="clear" w:color="auto" w:fill="FFFFFF"/>
          <w:lang w:val="zh-CN"/>
        </w:rPr>
        <w:t>收入情况</w:t>
      </w: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lang w:val="en-US" w:eastAsia="zh-CN" w:bidi="ar"/>
        </w:rPr>
        <w:t>广元市档案馆2023年年初预算收入合计744.08万元，决算报表收入合计1213.65万元，均为一般公共预算财政拨款收入。</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contextualSpacing/>
        <w:jc w:val="both"/>
        <w:textAlignment w:val="auto"/>
        <w:outlineLvl w:val="9"/>
        <w:rPr>
          <w:rFonts w:hint="default" w:ascii="Times New Roman" w:hAnsi="Times New Roman" w:cs="Times New Roman"/>
          <w:b w:val="0"/>
          <w:bCs w:val="0"/>
          <w:sz w:val="32"/>
          <w:szCs w:val="32"/>
          <w:highlight w:val="none"/>
          <w:lang w:val="en-US"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eastAsia="楷体_GB2312" w:cs="Times New Roman"/>
          <w:b w:val="0"/>
          <w:bCs w:val="0"/>
          <w:color w:val="000000"/>
          <w:kern w:val="0"/>
          <w:sz w:val="32"/>
          <w:szCs w:val="32"/>
          <w:highlight w:val="none"/>
          <w:shd w:val="clear" w:color="auto" w:fill="FFFFFF"/>
          <w:lang w:val="zh-CN"/>
        </w:rPr>
        <w:t>二</w:t>
      </w: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eastAsia="楷体_GB2312" w:cs="Times New Roman"/>
          <w:b w:val="0"/>
          <w:bCs w:val="0"/>
          <w:color w:val="000000"/>
          <w:kern w:val="0"/>
          <w:sz w:val="32"/>
          <w:szCs w:val="32"/>
          <w:highlight w:val="none"/>
          <w:shd w:val="clear" w:color="auto" w:fill="FFFFFF"/>
          <w:lang w:val="zh-CN"/>
        </w:rPr>
        <w:t>支出情况</w:t>
      </w: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lang w:val="en-US" w:eastAsia="zh-CN" w:bidi="ar"/>
        </w:rPr>
        <w:t>广元市档案馆2023年年初预算支出合计744.08万元，其中：基本支出649.16万元，项目支出94.92万元。决算报表支出合计1213.65万元，其中：人员经费643.75万元，公用经费81.76万元，项目经费488.13万元。</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contextualSpacing/>
        <w:jc w:val="both"/>
        <w:textAlignment w:val="auto"/>
        <w:outlineLvl w:val="9"/>
        <w:rPr>
          <w:rFonts w:hint="default" w:ascii="仿宋_GB2312" w:hAnsi="仿宋_GB2312" w:eastAsia="仿宋_GB2312" w:cs="仿宋_GB2312"/>
          <w:b w:val="0"/>
          <w:bCs w:val="0"/>
          <w:sz w:val="32"/>
          <w:szCs w:val="32"/>
          <w:lang w:val="zh-CN"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eastAsia="楷体_GB2312" w:cs="Times New Roman"/>
          <w:b w:val="0"/>
          <w:bCs w:val="0"/>
          <w:color w:val="000000"/>
          <w:kern w:val="0"/>
          <w:sz w:val="32"/>
          <w:szCs w:val="32"/>
          <w:highlight w:val="none"/>
          <w:shd w:val="clear" w:color="auto" w:fill="FFFFFF"/>
          <w:lang w:val="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default" w:ascii="Times New Roman" w:hAnsi="Times New Roman" w:eastAsia="楷体_GB2312" w:cs="Times New Roman"/>
          <w:b w:val="0"/>
          <w:bCs w:val="0"/>
          <w:sz w:val="32"/>
          <w:szCs w:val="32"/>
        </w:rPr>
        <w:t>结转结余情况</w:t>
      </w:r>
      <w:r>
        <w:rPr>
          <w:rFonts w:hint="eastAsia" w:ascii="Times New Roman" w:hAnsi="Times New Roman" w:eastAsia="楷体_GB2312" w:cs="Times New Roman"/>
          <w:b w:val="0"/>
          <w:bCs w:val="0"/>
          <w:sz w:val="32"/>
          <w:szCs w:val="32"/>
          <w:lang w:eastAsia="zh-CN"/>
        </w:rPr>
        <w:t>。</w:t>
      </w:r>
      <w:r>
        <w:rPr>
          <w:rFonts w:hint="eastAsia" w:ascii="仿宋_GB2312" w:hAnsi="仿宋_GB2312" w:eastAsia="仿宋_GB2312" w:cs="仿宋_GB2312"/>
          <w:b w:val="0"/>
          <w:bCs w:val="0"/>
          <w:color w:val="000000"/>
          <w:kern w:val="0"/>
          <w:sz w:val="32"/>
          <w:szCs w:val="32"/>
          <w:lang w:val="en-US" w:eastAsia="zh-CN" w:bidi="ar"/>
        </w:rPr>
        <w:t>广元市档案馆2023年决算报表无结转结余</w:t>
      </w:r>
      <w:r>
        <w:rPr>
          <w:rFonts w:hint="default" w:ascii="仿宋_GB2312" w:hAnsi="仿宋_GB2312" w:eastAsia="仿宋_GB2312" w:cs="仿宋_GB2312"/>
          <w:b w:val="0"/>
          <w:bCs w:val="0"/>
          <w:color w:val="000000"/>
          <w:kern w:val="0"/>
          <w:sz w:val="32"/>
          <w:szCs w:val="32"/>
          <w:lang w:val="en-US" w:eastAsia="zh-CN" w:bidi="ar"/>
        </w:rPr>
        <w:t>。</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contextualSpacing/>
        <w:jc w:val="both"/>
        <w:textAlignment w:val="auto"/>
        <w:outlineLvl w:val="9"/>
        <w:rPr>
          <w:rFonts w:hint="default" w:ascii="Times New Roman" w:hAnsi="Times New Roman" w:eastAsia="黑体" w:cs="Times New Roman"/>
          <w:b w:val="0"/>
          <w:bCs w:val="0"/>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b w:val="0"/>
          <w:bCs w:val="0"/>
          <w:color w:val="000000"/>
          <w:kern w:val="0"/>
          <w:sz w:val="32"/>
          <w:szCs w:val="32"/>
          <w:highlight w:val="none"/>
          <w:shd w:val="clear" w:color="auto" w:fill="FFFFFF"/>
        </w:rPr>
        <w:t>三、</w:t>
      </w:r>
      <w:r>
        <w:rPr>
          <w:rFonts w:hint="default" w:ascii="Times New Roman" w:hAnsi="Times New Roman" w:eastAsia="黑体" w:cs="Times New Roman"/>
          <w:b w:val="0"/>
          <w:bCs w:val="0"/>
          <w:color w:val="000000"/>
          <w:kern w:val="0"/>
          <w:sz w:val="32"/>
          <w:szCs w:val="32"/>
          <w:highlight w:val="none"/>
          <w:u w:val="none"/>
          <w:shd w:val="clear" w:color="auto" w:fill="FFFFFF"/>
        </w:rPr>
        <w:t>部门</w:t>
      </w:r>
      <w:r>
        <w:rPr>
          <w:rFonts w:hint="default" w:ascii="Times New Roman" w:hAnsi="Times New Roman" w:eastAsia="黑体" w:cs="Times New Roman"/>
          <w:b w:val="0"/>
          <w:bCs w:val="0"/>
          <w:color w:val="000000"/>
          <w:kern w:val="0"/>
          <w:sz w:val="32"/>
          <w:szCs w:val="32"/>
          <w:highlight w:val="none"/>
          <w:u w:val="none"/>
          <w:shd w:val="clear" w:color="auto" w:fill="FFFFFF"/>
          <w:lang w:eastAsia="zh-CN"/>
        </w:rPr>
        <w:t>预算</w:t>
      </w:r>
      <w:r>
        <w:rPr>
          <w:rFonts w:hint="default" w:ascii="Times New Roman" w:hAnsi="Times New Roman" w:eastAsia="黑体" w:cs="Times New Roman"/>
          <w:b w:val="0"/>
          <w:bCs w:val="0"/>
          <w:color w:val="000000"/>
          <w:kern w:val="0"/>
          <w:sz w:val="32"/>
          <w:szCs w:val="32"/>
          <w:highlight w:val="none"/>
          <w:u w:val="none"/>
          <w:shd w:val="clear" w:color="auto" w:fill="FFFFFF"/>
        </w:rPr>
        <w:t>绩效</w:t>
      </w:r>
      <w:r>
        <w:rPr>
          <w:rFonts w:hint="default" w:ascii="Times New Roman" w:hAnsi="Times New Roman" w:eastAsia="黑体" w:cs="Times New Roman"/>
          <w:b w:val="0"/>
          <w:bCs w:val="0"/>
          <w:color w:val="000000"/>
          <w:kern w:val="0"/>
          <w:sz w:val="32"/>
          <w:szCs w:val="32"/>
          <w:highlight w:val="none"/>
          <w:u w:val="none"/>
          <w:shd w:val="clear" w:color="auto" w:fill="FFFFFF"/>
          <w:lang w:eastAsia="zh-CN"/>
        </w:rPr>
        <w:t>分析</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76" w:lineRule="exact"/>
        <w:ind w:left="0" w:leftChars="0" w:firstLine="640" w:firstLineChars="200"/>
        <w:contextualSpacing/>
        <w:jc w:val="both"/>
        <w:textAlignment w:val="auto"/>
        <w:outlineLvl w:val="9"/>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w:t>
      </w:r>
      <w:r>
        <w:rPr>
          <w:rFonts w:hint="eastAsia" w:eastAsia="楷体_GB2312" w:cs="Times New Roman"/>
          <w:b w:val="0"/>
          <w:bCs w:val="0"/>
          <w:color w:val="000000"/>
          <w:kern w:val="0"/>
          <w:sz w:val="32"/>
          <w:szCs w:val="32"/>
          <w:highlight w:val="none"/>
          <w:shd w:val="clear" w:color="auto" w:fill="FFFFFF"/>
          <w:lang w:val="zh-CN"/>
        </w:rPr>
        <w:t>部门预算</w:t>
      </w:r>
      <w:r>
        <w:rPr>
          <w:rFonts w:hint="default" w:ascii="Times New Roman" w:hAnsi="Times New Roman" w:eastAsia="楷体_GB2312" w:cs="Times New Roman"/>
          <w:b w:val="0"/>
          <w:bCs w:val="0"/>
          <w:color w:val="000000"/>
          <w:kern w:val="0"/>
          <w:sz w:val="32"/>
          <w:szCs w:val="32"/>
          <w:highlight w:val="none"/>
          <w:shd w:val="clear" w:color="auto" w:fill="FFFFFF"/>
          <w:lang w:val="zh-CN"/>
        </w:rPr>
        <w:t>总体绩效分析。</w:t>
      </w:r>
    </w:p>
    <w:p>
      <w:pPr>
        <w:keepNext w:val="0"/>
        <w:keepLines w:val="0"/>
        <w:pageBreakBefore w:val="0"/>
        <w:widowControl w:val="0"/>
        <w:suppressLineNumbers w:val="0"/>
        <w:kinsoku/>
        <w:wordWrap/>
        <w:overflowPunct w:val="0"/>
        <w:topLinePunct w:val="0"/>
        <w:autoSpaceDE/>
        <w:autoSpaceDN/>
        <w:bidi w:val="0"/>
        <w:spacing w:beforeAutospacing="0" w:afterAutospacing="0" w:line="576" w:lineRule="exact"/>
        <w:ind w:left="0" w:leftChars="0" w:firstLine="640" w:firstLineChars="2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w:t>
      </w:r>
      <w:r>
        <w:rPr>
          <w:rFonts w:hint="eastAsia" w:ascii="仿宋_GB2312" w:hAnsi="仿宋_GB2312" w:eastAsia="仿宋_GB2312" w:cs="仿宋_GB2312"/>
          <w:b w:val="0"/>
          <w:bCs w:val="0"/>
          <w:color w:val="000000"/>
          <w:kern w:val="0"/>
          <w:sz w:val="32"/>
          <w:szCs w:val="32"/>
          <w:lang w:val="zh-CN" w:eastAsia="zh-CN" w:bidi="ar"/>
        </w:rPr>
        <w:t>履职效能。一是</w:t>
      </w:r>
      <w:r>
        <w:rPr>
          <w:rFonts w:hint="eastAsia" w:ascii="仿宋_GB2312" w:hAnsi="仿宋_GB2312" w:eastAsia="仿宋_GB2312" w:cs="仿宋_GB2312"/>
          <w:b w:val="0"/>
          <w:bCs w:val="0"/>
          <w:color w:val="000000"/>
          <w:kern w:val="0"/>
          <w:sz w:val="32"/>
          <w:szCs w:val="32"/>
          <w:lang w:val="en-US" w:eastAsia="zh-CN" w:bidi="ar"/>
        </w:rPr>
        <w:t>维护档案完整与安全履职效果。2023年共计开展3次安全检查，对档案库房、数据中心等档案安全重点部位进行消防设施设备全面检查，档案安全保护程度较高，得5分。二是开发档案文化产品履职效果。2023年编撰并公开出版《广元珍档》一书，与省档案馆联合拍摄《千年守望—翠云廊保护与传承的档案视角》短视频，深入挖掘馆藏档案的文化价值和历史价值，提升档案史料研究能力，档案开发利用程度较高，得5分。三是组织实施馆藏档案整理、鉴定、保管、保护、解密、划控、开放和销毁工作履职效果。2023年投入项目资金39.88万元用于档案征集、保护、整理、开发等档案业务工作，得分5分。共计得分15分。</w:t>
      </w:r>
    </w:p>
    <w:p>
      <w:pPr>
        <w:keepNext w:val="0"/>
        <w:keepLines w:val="0"/>
        <w:pageBreakBefore w:val="0"/>
        <w:widowControl w:val="0"/>
        <w:suppressLineNumbers w:val="0"/>
        <w:kinsoku/>
        <w:wordWrap/>
        <w:overflowPunct w:val="0"/>
        <w:topLinePunct w:val="0"/>
        <w:autoSpaceDE/>
        <w:autoSpaceDN/>
        <w:bidi w:val="0"/>
        <w:spacing w:beforeAutospacing="0" w:afterAutospacing="0" w:line="576" w:lineRule="exact"/>
        <w:ind w:left="0" w:leftChars="0" w:firstLine="640" w:firstLineChars="2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w:t>
      </w:r>
      <w:r>
        <w:rPr>
          <w:rFonts w:hint="eastAsia" w:ascii="仿宋_GB2312" w:hAnsi="仿宋_GB2312" w:eastAsia="仿宋_GB2312" w:cs="仿宋_GB2312"/>
          <w:b w:val="0"/>
          <w:bCs w:val="0"/>
          <w:color w:val="000000"/>
          <w:kern w:val="0"/>
          <w:sz w:val="32"/>
          <w:szCs w:val="32"/>
          <w:lang w:val="zh-CN" w:eastAsia="zh-CN" w:bidi="ar"/>
        </w:rPr>
        <w:t>预算管理。一是预算编制质量。我馆严格按照财政要求科学、准确编制</w:t>
      </w:r>
      <w:r>
        <w:rPr>
          <w:rFonts w:hint="eastAsia" w:ascii="仿宋_GB2312" w:hAnsi="仿宋_GB2312" w:eastAsia="仿宋_GB2312" w:cs="仿宋_GB2312"/>
          <w:b w:val="0"/>
          <w:bCs w:val="0"/>
          <w:color w:val="000000"/>
          <w:kern w:val="0"/>
          <w:sz w:val="32"/>
          <w:szCs w:val="32"/>
          <w:lang w:val="en-US" w:eastAsia="zh-CN" w:bidi="ar"/>
        </w:rPr>
        <w:t>2023年</w:t>
      </w:r>
      <w:r>
        <w:rPr>
          <w:rFonts w:hint="eastAsia" w:ascii="仿宋_GB2312" w:hAnsi="仿宋_GB2312" w:eastAsia="仿宋_GB2312" w:cs="仿宋_GB2312"/>
          <w:b w:val="0"/>
          <w:bCs w:val="0"/>
          <w:color w:val="000000"/>
          <w:kern w:val="0"/>
          <w:sz w:val="32"/>
          <w:szCs w:val="32"/>
          <w:lang w:val="zh-CN" w:eastAsia="zh-CN" w:bidi="ar"/>
        </w:rPr>
        <w:t>部门预算，得</w:t>
      </w:r>
      <w:r>
        <w:rPr>
          <w:rFonts w:hint="eastAsia" w:ascii="仿宋_GB2312" w:hAnsi="仿宋_GB2312" w:eastAsia="仿宋_GB2312" w:cs="仿宋_GB2312"/>
          <w:b w:val="0"/>
          <w:bCs w:val="0"/>
          <w:color w:val="000000"/>
          <w:kern w:val="0"/>
          <w:sz w:val="32"/>
          <w:szCs w:val="32"/>
          <w:lang w:val="en-US" w:eastAsia="zh-CN" w:bidi="ar"/>
        </w:rPr>
        <w:t>8分。二是单位收入统筹。2023年</w:t>
      </w:r>
      <w:r>
        <w:rPr>
          <w:rFonts w:hint="eastAsia" w:ascii="仿宋_GB2312" w:hAnsi="仿宋_GB2312" w:eastAsia="仿宋_GB2312" w:cs="仿宋_GB2312"/>
          <w:b w:val="0"/>
          <w:bCs w:val="0"/>
          <w:color w:val="000000"/>
          <w:kern w:val="0"/>
          <w:sz w:val="32"/>
          <w:szCs w:val="32"/>
          <w:lang w:val="zh-CN" w:eastAsia="zh-CN" w:bidi="ar"/>
        </w:rPr>
        <w:t>无自有收入，得</w:t>
      </w:r>
      <w:r>
        <w:rPr>
          <w:rFonts w:hint="eastAsia" w:ascii="仿宋_GB2312" w:hAnsi="仿宋_GB2312" w:eastAsia="仿宋_GB2312" w:cs="仿宋_GB2312"/>
          <w:b w:val="0"/>
          <w:bCs w:val="0"/>
          <w:color w:val="000000"/>
          <w:kern w:val="0"/>
          <w:sz w:val="32"/>
          <w:szCs w:val="32"/>
          <w:lang w:val="en-US" w:eastAsia="zh-CN" w:bidi="ar"/>
        </w:rPr>
        <w:t>4分</w:t>
      </w:r>
      <w:r>
        <w:rPr>
          <w:rFonts w:hint="eastAsia" w:ascii="仿宋_GB2312" w:hAnsi="仿宋_GB2312" w:eastAsia="仿宋_GB2312" w:cs="仿宋_GB2312"/>
          <w:b w:val="0"/>
          <w:bCs w:val="0"/>
          <w:color w:val="000000"/>
          <w:kern w:val="0"/>
          <w:sz w:val="32"/>
          <w:szCs w:val="32"/>
          <w:lang w:val="zh-CN" w:eastAsia="zh-CN" w:bidi="ar"/>
        </w:rPr>
        <w:t>。三是支出执行进度。</w:t>
      </w:r>
      <w:r>
        <w:rPr>
          <w:rFonts w:hint="eastAsia" w:ascii="仿宋_GB2312" w:hAnsi="仿宋_GB2312" w:eastAsia="仿宋_GB2312" w:cs="仿宋_GB2312"/>
          <w:b w:val="0"/>
          <w:bCs w:val="0"/>
          <w:color w:val="000000"/>
          <w:kern w:val="0"/>
          <w:sz w:val="32"/>
          <w:szCs w:val="32"/>
          <w:lang w:val="en-US" w:eastAsia="zh-CN" w:bidi="ar"/>
        </w:rPr>
        <w:t>2023年1-6月预算执行进度为40.98%，1-10月预算执行进度为70.83%，无支出预警金额，无支出违规金额，得5.67分。四是预算年终结余。2023年年终无结转结余，得2分。五是严控一般性支出。2022年一般性支出财政拨款年初预算为19.5万元，2023年一般性支出财政拨款年初预算为14.4万元，实现压减35.42%，得2分；2022年一般性支出财政拨款预算执行数为10.4万元，2023年一般性支出财政拨款预算执行数为17.85万元，未实现压减，不得分。共计得分21.67分。</w:t>
      </w:r>
    </w:p>
    <w:p>
      <w:pPr>
        <w:keepNext w:val="0"/>
        <w:keepLines w:val="0"/>
        <w:pageBreakBefore w:val="0"/>
        <w:widowControl w:val="0"/>
        <w:suppressLineNumbers w:val="0"/>
        <w:kinsoku/>
        <w:wordWrap/>
        <w:overflowPunct w:val="0"/>
        <w:topLinePunct w:val="0"/>
        <w:autoSpaceDE/>
        <w:autoSpaceDN/>
        <w:bidi w:val="0"/>
        <w:spacing w:beforeAutospacing="0" w:afterAutospacing="0" w:line="576" w:lineRule="exact"/>
        <w:ind w:left="0" w:leftChars="0" w:firstLine="640" w:firstLineChars="2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w:t>
      </w:r>
      <w:r>
        <w:rPr>
          <w:rFonts w:hint="eastAsia" w:ascii="仿宋_GB2312" w:hAnsi="仿宋_GB2312" w:eastAsia="仿宋_GB2312" w:cs="仿宋_GB2312"/>
          <w:b w:val="0"/>
          <w:bCs w:val="0"/>
          <w:color w:val="000000"/>
          <w:kern w:val="0"/>
          <w:sz w:val="32"/>
          <w:szCs w:val="32"/>
          <w:lang w:val="zh-CN" w:eastAsia="zh-CN" w:bidi="ar"/>
        </w:rPr>
        <w:t>财务管理。一是财务管理制度。修订完善了《广元市档案馆预算绩效管理制度》《广元市档案馆建设项目管理办法》《广元市档案馆政府采购内部控制管理制度》《广元市档案馆内部审计管理制度》《广元市档案馆财务管理制度》《广元市档案馆固定资产管理制度》《广元市档案馆合同管理制度》《广元市档案馆预算绩效管理实施方案》《广元市档案馆预算绩效运行监控操作规程》《广元市档案馆内部控制岗位职责制度》等</w:t>
      </w:r>
      <w:r>
        <w:rPr>
          <w:rFonts w:hint="eastAsia" w:ascii="仿宋_GB2312" w:hAnsi="仿宋_GB2312" w:eastAsia="仿宋_GB2312" w:cs="仿宋_GB2312"/>
          <w:b w:val="0"/>
          <w:bCs w:val="0"/>
          <w:color w:val="000000"/>
          <w:kern w:val="0"/>
          <w:sz w:val="32"/>
          <w:szCs w:val="32"/>
          <w:lang w:val="en-US" w:eastAsia="zh-CN" w:bidi="ar"/>
        </w:rPr>
        <w:t>10项制度，并严格按照制度要求开展财务工作，得4分。二是财务岗位设置。合理设置财务工作岗位，明确各岗位职责权限，严格按照内部控制要求，实行不相容岗位分离，得2分。三是资金使用规范。2023年资金使用均符合相关财务管理制度规定，得4分。共计得分10分。</w:t>
      </w:r>
    </w:p>
    <w:p>
      <w:pPr>
        <w:keepNext w:val="0"/>
        <w:keepLines w:val="0"/>
        <w:pageBreakBefore w:val="0"/>
        <w:widowControl w:val="0"/>
        <w:suppressLineNumbers w:val="0"/>
        <w:kinsoku/>
        <w:wordWrap/>
        <w:overflowPunct w:val="0"/>
        <w:topLinePunct w:val="0"/>
        <w:autoSpaceDE/>
        <w:autoSpaceDN/>
        <w:bidi w:val="0"/>
        <w:spacing w:beforeAutospacing="0" w:afterAutospacing="0" w:line="576" w:lineRule="exact"/>
        <w:ind w:left="0" w:leftChars="0" w:firstLine="640" w:firstLineChars="2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4.</w:t>
      </w:r>
      <w:r>
        <w:rPr>
          <w:rFonts w:hint="eastAsia" w:ascii="仿宋_GB2312" w:hAnsi="仿宋_GB2312" w:eastAsia="仿宋_GB2312" w:cs="仿宋_GB2312"/>
          <w:b w:val="0"/>
          <w:bCs w:val="0"/>
          <w:color w:val="000000"/>
          <w:kern w:val="0"/>
          <w:sz w:val="32"/>
          <w:szCs w:val="32"/>
          <w:lang w:val="zh-CN" w:eastAsia="zh-CN" w:bidi="ar"/>
        </w:rPr>
        <w:t>资产管理。一是人均资产变化率。</w:t>
      </w:r>
      <w:r>
        <w:rPr>
          <w:rFonts w:hint="eastAsia" w:ascii="仿宋_GB2312" w:hAnsi="仿宋_GB2312" w:eastAsia="仿宋_GB2312" w:cs="仿宋_GB2312"/>
          <w:b w:val="0"/>
          <w:bCs w:val="0"/>
          <w:color w:val="000000"/>
          <w:kern w:val="0"/>
          <w:sz w:val="32"/>
          <w:szCs w:val="32"/>
          <w:lang w:val="en-US" w:eastAsia="zh-CN" w:bidi="ar"/>
        </w:rPr>
        <w:t>2023年部门人均资产变化率为4.77%，得0.3分；人均资产增长率为4.77%，得0.9分。二是资产利用率。2023年办公家具超最低使用年限资产利用率为4.7%，得0.3分；办公设备超最低使用年限资产利用率为47.74%，得0.9分。三是资产盘活率。2022年和2023年均无闲置资产，得分3分。共计得分5.4分。</w:t>
      </w:r>
    </w:p>
    <w:p>
      <w:pPr>
        <w:keepNext w:val="0"/>
        <w:keepLines w:val="0"/>
        <w:pageBreakBefore w:val="0"/>
        <w:widowControl w:val="0"/>
        <w:suppressLineNumbers w:val="0"/>
        <w:kinsoku/>
        <w:wordWrap/>
        <w:overflowPunct w:val="0"/>
        <w:topLinePunct w:val="0"/>
        <w:autoSpaceDE/>
        <w:autoSpaceDN/>
        <w:bidi w:val="0"/>
        <w:spacing w:beforeAutospacing="0" w:afterAutospacing="0" w:line="576" w:lineRule="exact"/>
        <w:ind w:left="0" w:leftChars="0" w:firstLine="640" w:firstLineChars="2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5.</w:t>
      </w:r>
      <w:r>
        <w:rPr>
          <w:rFonts w:hint="eastAsia" w:ascii="仿宋_GB2312" w:hAnsi="仿宋_GB2312" w:eastAsia="仿宋_GB2312" w:cs="仿宋_GB2312"/>
          <w:b w:val="0"/>
          <w:bCs w:val="0"/>
          <w:color w:val="000000"/>
          <w:kern w:val="0"/>
          <w:sz w:val="32"/>
          <w:szCs w:val="32"/>
          <w:lang w:val="zh-CN" w:eastAsia="zh-CN" w:bidi="ar"/>
        </w:rPr>
        <w:t>采购管理。一是支持中小企业发展。</w:t>
      </w:r>
      <w:r>
        <w:rPr>
          <w:rFonts w:hint="eastAsia" w:ascii="仿宋_GB2312" w:hAnsi="仿宋_GB2312" w:eastAsia="仿宋_GB2312" w:cs="仿宋_GB2312"/>
          <w:b w:val="0"/>
          <w:bCs w:val="0"/>
          <w:color w:val="000000"/>
          <w:kern w:val="0"/>
          <w:sz w:val="32"/>
          <w:szCs w:val="32"/>
          <w:lang w:val="en-US" w:eastAsia="zh-CN" w:bidi="ar"/>
        </w:rPr>
        <w:t>2023年我馆政府采购项目共2个，其中广元市档案馆数字档案馆建设项目（档案资源质量提升）专门面向中小企业，预留比例为100%，得3分。二是采购执行率。2023年政府采购项目资金全部完成支付，支付比例为100%，得3分。共计得分6分。</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仿宋_GB2312" w:hAnsi="仿宋_GB2312" w:eastAsia="仿宋_GB2312" w:cs="仿宋_GB2312"/>
          <w:b w:val="0"/>
          <w:bCs w:val="0"/>
          <w:sz w:val="32"/>
          <w:szCs w:val="32"/>
          <w:highlight w:val="none"/>
          <w:u w:val="none"/>
          <w:lang w:val="zh-CN"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（二）部门预算项目绩效分析。</w:t>
      </w:r>
      <w:r>
        <w:rPr>
          <w:rFonts w:hint="eastAsia" w:ascii="仿宋_GB2312" w:hAnsi="仿宋_GB2312" w:eastAsia="仿宋_GB2312" w:cs="仿宋_GB2312"/>
          <w:b w:val="0"/>
          <w:bCs w:val="0"/>
          <w:color w:val="000000"/>
          <w:kern w:val="0"/>
          <w:sz w:val="32"/>
          <w:szCs w:val="32"/>
          <w:lang w:val="en-US" w:eastAsia="zh-CN" w:bidi="ar"/>
        </w:rPr>
        <w:t>2023年</w:t>
      </w:r>
      <w:r>
        <w:rPr>
          <w:rFonts w:hint="default" w:ascii="仿宋_GB2312" w:hAnsi="仿宋_GB2312" w:eastAsia="仿宋_GB2312" w:cs="仿宋_GB2312"/>
          <w:b w:val="0"/>
          <w:bCs w:val="0"/>
          <w:color w:val="000000"/>
          <w:kern w:val="0"/>
          <w:sz w:val="32"/>
          <w:szCs w:val="32"/>
          <w:lang w:val="zh-CN" w:eastAsia="zh-CN" w:bidi="ar"/>
        </w:rPr>
        <w:t>项目总数</w:t>
      </w:r>
      <w:r>
        <w:rPr>
          <w:rFonts w:hint="eastAsia" w:ascii="仿宋_GB2312" w:hAnsi="仿宋_GB2312" w:eastAsia="仿宋_GB2312" w:cs="仿宋_GB2312"/>
          <w:b w:val="0"/>
          <w:bCs w:val="0"/>
          <w:color w:val="000000"/>
          <w:kern w:val="0"/>
          <w:sz w:val="32"/>
          <w:szCs w:val="32"/>
          <w:lang w:val="en-US" w:eastAsia="zh-CN" w:bidi="ar"/>
        </w:rPr>
        <w:t>5</w:t>
      </w:r>
      <w:r>
        <w:rPr>
          <w:rFonts w:hint="default" w:ascii="仿宋_GB2312" w:hAnsi="仿宋_GB2312" w:eastAsia="仿宋_GB2312" w:cs="仿宋_GB2312"/>
          <w:b w:val="0"/>
          <w:bCs w:val="0"/>
          <w:color w:val="000000"/>
          <w:kern w:val="0"/>
          <w:sz w:val="32"/>
          <w:szCs w:val="32"/>
          <w:lang w:val="zh-CN" w:eastAsia="zh-CN" w:bidi="ar"/>
        </w:rPr>
        <w:t>个，涉及预算总金额</w:t>
      </w:r>
      <w:r>
        <w:rPr>
          <w:rFonts w:hint="eastAsia" w:ascii="仿宋_GB2312" w:hAnsi="仿宋_GB2312" w:eastAsia="仿宋_GB2312" w:cs="仿宋_GB2312"/>
          <w:b w:val="0"/>
          <w:bCs w:val="0"/>
          <w:color w:val="000000"/>
          <w:kern w:val="0"/>
          <w:sz w:val="32"/>
          <w:szCs w:val="32"/>
          <w:lang w:val="en-US" w:eastAsia="zh-CN" w:bidi="ar"/>
        </w:rPr>
        <w:t>488.13</w:t>
      </w:r>
      <w:r>
        <w:rPr>
          <w:rFonts w:hint="default" w:ascii="仿宋_GB2312" w:hAnsi="仿宋_GB2312" w:eastAsia="仿宋_GB2312" w:cs="仿宋_GB2312"/>
          <w:b w:val="0"/>
          <w:bCs w:val="0"/>
          <w:color w:val="000000"/>
          <w:kern w:val="0"/>
          <w:sz w:val="32"/>
          <w:szCs w:val="32"/>
          <w:lang w:val="zh-CN" w:eastAsia="zh-CN" w:bidi="ar"/>
        </w:rPr>
        <w:t>万元，1</w:t>
      </w:r>
      <w:r>
        <w:rPr>
          <w:rFonts w:hint="eastAsia" w:ascii="仿宋_GB2312" w:hAnsi="仿宋_GB2312" w:eastAsia="仿宋_GB2312" w:cs="仿宋_GB2312"/>
          <w:b w:val="0"/>
          <w:bCs w:val="0"/>
          <w:color w:val="000000"/>
          <w:kern w:val="0"/>
          <w:sz w:val="32"/>
          <w:szCs w:val="32"/>
          <w:lang w:val="zh-CN" w:eastAsia="zh-CN" w:bidi="ar"/>
        </w:rPr>
        <w:t>—</w:t>
      </w:r>
      <w:r>
        <w:rPr>
          <w:rFonts w:hint="default" w:ascii="仿宋_GB2312" w:hAnsi="仿宋_GB2312" w:eastAsia="仿宋_GB2312" w:cs="仿宋_GB2312"/>
          <w:b w:val="0"/>
          <w:bCs w:val="0"/>
          <w:color w:val="000000"/>
          <w:kern w:val="0"/>
          <w:sz w:val="32"/>
          <w:szCs w:val="32"/>
          <w:lang w:val="zh-CN" w:eastAsia="zh-CN" w:bidi="ar"/>
        </w:rPr>
        <w:t>1</w:t>
      </w:r>
      <w:r>
        <w:rPr>
          <w:rFonts w:hint="default" w:ascii="仿宋_GB2312" w:hAnsi="仿宋_GB2312" w:eastAsia="仿宋_GB2312" w:cs="仿宋_GB2312"/>
          <w:b w:val="0"/>
          <w:bCs w:val="0"/>
          <w:color w:val="000000"/>
          <w:kern w:val="0"/>
          <w:sz w:val="32"/>
          <w:szCs w:val="32"/>
          <w:lang w:val="en-US" w:eastAsia="zh-CN" w:bidi="ar"/>
        </w:rPr>
        <w:t>2</w:t>
      </w:r>
      <w:r>
        <w:rPr>
          <w:rFonts w:hint="default" w:ascii="仿宋_GB2312" w:hAnsi="仿宋_GB2312" w:eastAsia="仿宋_GB2312" w:cs="仿宋_GB2312"/>
          <w:b w:val="0"/>
          <w:bCs w:val="0"/>
          <w:color w:val="000000"/>
          <w:kern w:val="0"/>
          <w:sz w:val="32"/>
          <w:szCs w:val="32"/>
          <w:lang w:val="zh-CN" w:eastAsia="zh-CN" w:bidi="ar"/>
        </w:rPr>
        <w:t>月预算执行总体进度为</w:t>
      </w:r>
      <w:r>
        <w:rPr>
          <w:rFonts w:hint="eastAsia" w:ascii="仿宋_GB2312" w:hAnsi="仿宋_GB2312" w:eastAsia="仿宋_GB2312" w:cs="仿宋_GB2312"/>
          <w:b w:val="0"/>
          <w:bCs w:val="0"/>
          <w:color w:val="000000"/>
          <w:kern w:val="0"/>
          <w:sz w:val="32"/>
          <w:szCs w:val="32"/>
          <w:lang w:val="en-US" w:eastAsia="zh-CN" w:bidi="ar"/>
        </w:rPr>
        <w:t>100</w:t>
      </w:r>
      <w:r>
        <w:rPr>
          <w:rFonts w:hint="default" w:ascii="仿宋_GB2312" w:hAnsi="仿宋_GB2312" w:eastAsia="仿宋_GB2312" w:cs="仿宋_GB2312"/>
          <w:b w:val="0"/>
          <w:bCs w:val="0"/>
          <w:color w:val="000000"/>
          <w:kern w:val="0"/>
          <w:sz w:val="32"/>
          <w:szCs w:val="32"/>
          <w:lang w:val="zh-CN" w:eastAsia="zh-CN" w:bidi="ar"/>
        </w:rPr>
        <w:t>%</w:t>
      </w:r>
      <w:r>
        <w:rPr>
          <w:rFonts w:hint="eastAsia" w:ascii="仿宋_GB2312" w:hAnsi="仿宋_GB2312" w:eastAsia="仿宋_GB2312" w:cs="仿宋_GB2312"/>
          <w:b w:val="0"/>
          <w:bCs w:val="0"/>
          <w:color w:val="000000"/>
          <w:kern w:val="0"/>
          <w:sz w:val="32"/>
          <w:szCs w:val="32"/>
          <w:lang w:val="zh-CN" w:eastAsia="zh-CN" w:bidi="ar"/>
        </w:rPr>
        <w:t>，无预算结余</w:t>
      </w:r>
      <w:r>
        <w:rPr>
          <w:rFonts w:hint="default" w:ascii="仿宋_GB2312" w:hAnsi="仿宋_GB2312" w:eastAsia="仿宋_GB2312" w:cs="仿宋_GB2312"/>
          <w:b w:val="0"/>
          <w:bCs w:val="0"/>
          <w:color w:val="000000"/>
          <w:kern w:val="0"/>
          <w:sz w:val="32"/>
          <w:szCs w:val="32"/>
          <w:lang w:val="zh-CN" w:eastAsia="zh-CN" w:bidi="ar"/>
        </w:rPr>
        <w:t>。</w:t>
      </w:r>
    </w:p>
    <w:p>
      <w:pPr>
        <w:keepNext w:val="0"/>
        <w:keepLines w:val="0"/>
        <w:pageBreakBefore w:val="0"/>
        <w:widowControl w:val="0"/>
        <w:suppressLineNumbers w:val="0"/>
        <w:kinsoku/>
        <w:wordWrap/>
        <w:overflowPunct w:val="0"/>
        <w:topLinePunct w:val="0"/>
        <w:autoSpaceDE/>
        <w:autoSpaceDN/>
        <w:bidi w:val="0"/>
        <w:spacing w:beforeAutospacing="0" w:afterAutospacing="0" w:line="576" w:lineRule="exact"/>
        <w:ind w:left="0" w:leftChars="0" w:firstLine="640" w:firstLineChars="2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w:t>
      </w:r>
      <w:r>
        <w:rPr>
          <w:rFonts w:hint="eastAsia" w:ascii="仿宋_GB2312" w:hAnsi="仿宋_GB2312" w:eastAsia="仿宋_GB2312" w:cs="仿宋_GB2312"/>
          <w:b w:val="0"/>
          <w:bCs w:val="0"/>
          <w:color w:val="000000"/>
          <w:kern w:val="0"/>
          <w:sz w:val="32"/>
          <w:szCs w:val="32"/>
          <w:lang w:val="zh-CN" w:eastAsia="zh-CN" w:bidi="ar"/>
        </w:rPr>
        <w:t>项目决策。一是决策程序。所有项目均按规定申报设立并履行评估程序，得</w:t>
      </w:r>
      <w:r>
        <w:rPr>
          <w:rFonts w:hint="eastAsia" w:ascii="仿宋_GB2312" w:hAnsi="仿宋_GB2312" w:eastAsia="仿宋_GB2312" w:cs="仿宋_GB2312"/>
          <w:b w:val="0"/>
          <w:bCs w:val="0"/>
          <w:color w:val="000000"/>
          <w:kern w:val="0"/>
          <w:sz w:val="32"/>
          <w:szCs w:val="32"/>
          <w:lang w:val="en-US" w:eastAsia="zh-CN" w:bidi="ar"/>
        </w:rPr>
        <w:t>4分。二是目标设置。项目绩效目标与计划期内的任务量、预算安排的资金量匹配，绩效目标设置科学合理、规范完整、量化细化，得4分。三是项目入库。所有部门预算项目均在规定时间完成项目入库，得4分。共计得分12分。</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仿宋_GB2312" w:hAnsi="仿宋_GB2312" w:eastAsia="仿宋_GB2312" w:cs="仿宋_GB2312"/>
          <w:b w:val="0"/>
          <w:bCs w:val="0"/>
          <w:sz w:val="32"/>
          <w:szCs w:val="32"/>
          <w:highlight w:val="yellow"/>
          <w:u w:val="none"/>
          <w:lang w:val="en-US" w:eastAsia="zh-CN"/>
        </w:rPr>
      </w:pPr>
      <w:r>
        <w:rPr>
          <w:rFonts w:hint="eastAsia" w:ascii="仿宋_GB2312" w:hAnsi="仿宋_GB2312" w:eastAsia="仿宋_GB2312" w:cs="仿宋_GB2312"/>
          <w:b w:val="0"/>
          <w:bCs w:val="0"/>
          <w:sz w:val="32"/>
          <w:szCs w:val="32"/>
          <w:highlight w:val="none"/>
          <w:u w:val="none"/>
          <w:lang w:val="en-US" w:eastAsia="zh-CN"/>
        </w:rPr>
        <w:t>2.项目执行</w:t>
      </w:r>
      <w:r>
        <w:rPr>
          <w:rFonts w:hint="eastAsia" w:ascii="仿宋_GB2312" w:hAnsi="仿宋_GB2312" w:eastAsia="仿宋_GB2312" w:cs="仿宋_GB2312"/>
          <w:b w:val="0"/>
          <w:bCs w:val="0"/>
          <w:sz w:val="32"/>
          <w:szCs w:val="32"/>
          <w:highlight w:val="none"/>
          <w:u w:val="none"/>
          <w:lang w:val="zh-CN" w:eastAsia="zh-CN"/>
        </w:rPr>
        <w:t>。</w:t>
      </w:r>
      <w:r>
        <w:rPr>
          <w:rFonts w:hint="eastAsia" w:ascii="仿宋_GB2312" w:hAnsi="仿宋_GB2312" w:cs="仿宋_GB2312"/>
          <w:b w:val="0"/>
          <w:bCs w:val="0"/>
          <w:sz w:val="32"/>
          <w:szCs w:val="32"/>
          <w:highlight w:val="none"/>
          <w:u w:val="none"/>
          <w:lang w:val="zh-CN" w:eastAsia="zh-CN"/>
        </w:rPr>
        <w:t>一是执行同向。</w:t>
      </w:r>
      <w:r>
        <w:rPr>
          <w:rFonts w:hint="eastAsia" w:ascii="仿宋_GB2312" w:hAnsi="仿宋_GB2312" w:eastAsia="仿宋_GB2312" w:cs="仿宋_GB2312"/>
          <w:b w:val="0"/>
          <w:bCs w:val="0"/>
          <w:color w:val="000000"/>
          <w:kern w:val="0"/>
          <w:sz w:val="32"/>
          <w:szCs w:val="32"/>
          <w:lang w:val="zh-CN" w:eastAsia="zh-CN" w:bidi="ar"/>
        </w:rPr>
        <w:t>所有部门预算项目实际列支内容均与绩效目标设置相符，得</w:t>
      </w:r>
      <w:r>
        <w:rPr>
          <w:rFonts w:hint="eastAsia" w:ascii="仿宋_GB2312" w:hAnsi="仿宋_GB2312" w:eastAsia="仿宋_GB2312" w:cs="仿宋_GB2312"/>
          <w:b w:val="0"/>
          <w:bCs w:val="0"/>
          <w:color w:val="000000"/>
          <w:kern w:val="0"/>
          <w:sz w:val="32"/>
          <w:szCs w:val="32"/>
          <w:lang w:val="en-US" w:eastAsia="zh-CN" w:bidi="ar"/>
        </w:rPr>
        <w:t>4分。二是项目调整。我馆及时按照数字档案馆建设项目实际情况调整预算申请和绩效目标设置，得4分。三是执行结果。2023年所有部门预算项目预算执行进度均为100%，无预算结余，得4分。共计得分12分。</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3.</w:t>
      </w:r>
      <w:r>
        <w:rPr>
          <w:rFonts w:hint="eastAsia" w:ascii="仿宋_GB2312" w:hAnsi="仿宋_GB2312" w:eastAsia="仿宋_GB2312" w:cs="仿宋_GB2312"/>
          <w:b w:val="0"/>
          <w:bCs w:val="0"/>
          <w:sz w:val="32"/>
          <w:szCs w:val="32"/>
          <w:highlight w:val="none"/>
          <w:u w:val="none"/>
          <w:lang w:val="zh-CN" w:eastAsia="zh-CN"/>
        </w:rPr>
        <w:t>目标实现。</w:t>
      </w:r>
      <w:r>
        <w:rPr>
          <w:rFonts w:hint="eastAsia" w:ascii="仿宋_GB2312" w:hAnsi="仿宋_GB2312" w:cs="仿宋_GB2312"/>
          <w:b w:val="0"/>
          <w:bCs w:val="0"/>
          <w:sz w:val="32"/>
          <w:szCs w:val="32"/>
          <w:highlight w:val="none"/>
          <w:u w:val="none"/>
          <w:lang w:val="zh-CN" w:eastAsia="zh-CN"/>
        </w:rPr>
        <w:t>一是目标完成。</w:t>
      </w:r>
      <w:r>
        <w:rPr>
          <w:rFonts w:hint="eastAsia" w:ascii="仿宋_GB2312" w:hAnsi="仿宋_GB2312" w:eastAsia="仿宋_GB2312" w:cs="仿宋_GB2312"/>
          <w:b w:val="0"/>
          <w:bCs w:val="0"/>
          <w:color w:val="000000"/>
          <w:kern w:val="0"/>
          <w:sz w:val="32"/>
          <w:szCs w:val="32"/>
          <w:lang w:val="en-US" w:eastAsia="zh-CN" w:bidi="ar"/>
        </w:rPr>
        <w:t>2023年所有部门预算项目数量指标均已完成，得4分。二是目标偏离。2023年所有部门预算项目绩效目标数量指标均无偏离，得4分。三是实现效果。2023年所有部门预算项目绩效目标效益指标均已完成，得3分。共计得分11分。</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contextualSpacing/>
        <w:jc w:val="both"/>
        <w:textAlignment w:val="auto"/>
        <w:outlineLvl w:val="9"/>
        <w:rPr>
          <w:rFonts w:hint="default" w:ascii="仿宋_GB2312" w:hAnsi="仿宋_GB2312" w:eastAsia="仿宋_GB2312" w:cs="仿宋_GB2312"/>
          <w:b w:val="0"/>
          <w:bCs w:val="0"/>
          <w:color w:val="000000"/>
          <w:kern w:val="0"/>
          <w:sz w:val="32"/>
          <w:szCs w:val="32"/>
          <w:highlight w:val="none"/>
          <w:shd w:val="clear" w:color="auto" w:fill="FFFFFF"/>
          <w:lang w:val="en-US"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eastAsia="楷体_GB2312" w:cs="Times New Roman"/>
          <w:b w:val="0"/>
          <w:bCs w:val="0"/>
          <w:color w:val="000000"/>
          <w:kern w:val="0"/>
          <w:sz w:val="32"/>
          <w:szCs w:val="32"/>
          <w:highlight w:val="none"/>
          <w:shd w:val="clear" w:color="auto" w:fill="FFFFFF"/>
          <w:lang w:val="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val="0"/>
          <w:bCs w:val="0"/>
          <w:color w:val="000000"/>
          <w:kern w:val="0"/>
          <w:sz w:val="32"/>
          <w:szCs w:val="32"/>
          <w:highlight w:val="none"/>
          <w:shd w:val="clear" w:color="auto" w:fill="FFFFFF"/>
          <w:lang w:val="zh-CN"/>
        </w:rPr>
        <w:t>绩效分析</w:t>
      </w: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w:t>
      </w:r>
      <w:r>
        <w:rPr>
          <w:rFonts w:hint="eastAsia" w:ascii="仿宋_GB2312" w:hAnsi="仿宋_GB2312" w:eastAsia="仿宋_GB2312" w:cs="仿宋_GB2312"/>
          <w:b w:val="0"/>
          <w:bCs w:val="0"/>
          <w:color w:val="000000"/>
          <w:kern w:val="0"/>
          <w:sz w:val="32"/>
          <w:szCs w:val="32"/>
          <w:lang w:val="en-US" w:eastAsia="zh-CN" w:bidi="ar"/>
        </w:rPr>
        <w:t>2023年度政府采购项目共2个，分别为广元市档案馆数字档案馆建设项目（基础设施建设）和广元市档案馆数字档案馆建设项目（档案数字资源质量提升），采购预算共计406.3122万元，已全部完成支付，无预算结余，所有绩效目标均已完成。</w:t>
      </w:r>
    </w:p>
    <w:p>
      <w:pPr>
        <w:pStyle w:val="12"/>
        <w:keepNext w:val="0"/>
        <w:keepLines w:val="0"/>
        <w:pageBreakBefore w:val="0"/>
        <w:widowControl w:val="0"/>
        <w:kinsoku/>
        <w:wordWrap/>
        <w:overflowPunct w:val="0"/>
        <w:topLinePunct w:val="0"/>
        <w:autoSpaceDE/>
        <w:autoSpaceDN/>
        <w:bidi w:val="0"/>
        <w:adjustRightInd/>
        <w:snapToGrid/>
        <w:spacing w:beforeAutospacing="0" w:after="0" w:afterAutospacing="0" w:line="576" w:lineRule="exact"/>
        <w:ind w:left="0" w:leftChars="0"/>
        <w:jc w:val="both"/>
        <w:textAlignment w:val="auto"/>
        <w:rPr>
          <w:rFonts w:hint="eastAsia" w:ascii="仿宋_GB2312" w:hAnsi="仿宋_GB2312" w:eastAsia="仿宋_GB2312" w:cs="仿宋_GB2312"/>
          <w:b w:val="0"/>
          <w:bCs w:val="0"/>
          <w:color w:val="000000"/>
          <w:kern w:val="0"/>
          <w:sz w:val="32"/>
          <w:szCs w:val="32"/>
          <w:lang w:val="zh-CN" w:eastAsia="zh-CN" w:bidi="ar"/>
        </w:rPr>
      </w:pPr>
      <w:r>
        <w:rPr>
          <w:rFonts w:hint="default" w:ascii="Times New Roman" w:hAnsi="Times New Roman" w:eastAsia="楷体_GB2312" w:cs="Times New Roman"/>
          <w:b w:val="0"/>
          <w:bCs w:val="0"/>
          <w:sz w:val="32"/>
          <w:szCs w:val="32"/>
          <w:lang w:val="zh-CN"/>
        </w:rPr>
        <w:t>（四）绩效结果应用情况</w:t>
      </w:r>
      <w:r>
        <w:rPr>
          <w:rFonts w:hint="eastAsia" w:ascii="Times New Roman" w:hAnsi="Times New Roman" w:eastAsia="楷体_GB2312" w:cs="Times New Roman"/>
          <w:b w:val="0"/>
          <w:bCs w:val="0"/>
          <w:sz w:val="32"/>
          <w:szCs w:val="32"/>
          <w:lang w:val="zh-CN"/>
        </w:rPr>
        <w:t>。</w:t>
      </w:r>
      <w:r>
        <w:rPr>
          <w:rFonts w:hint="eastAsia" w:ascii="仿宋_GB2312" w:hAnsi="仿宋_GB2312" w:eastAsia="仿宋_GB2312" w:cs="仿宋_GB2312"/>
          <w:b w:val="0"/>
          <w:bCs w:val="0"/>
          <w:color w:val="000000"/>
          <w:kern w:val="0"/>
          <w:sz w:val="32"/>
          <w:szCs w:val="32"/>
          <w:lang w:val="en-US" w:eastAsia="zh-CN" w:bidi="ar"/>
        </w:rPr>
        <w:t>我馆严格按照市财政局要求，随预算向社会公开部门绩效目标，按照绩效评价结果及时指导相关项目的执行方向、进度。采取比较法，对比年初绩效目标，按照有关标准办法，评价各项目产出效益情况，指导次年预算项目编制，并将各科室绩效自评纳入考核体系，建立单位内部预算与绩效挂钩机制。对绩效管理过程中出现的问题及时整改，不断完善我馆绩效管理制度。</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contextualSpacing/>
        <w:jc w:val="both"/>
        <w:textAlignment w:val="auto"/>
        <w:outlineLvl w:val="9"/>
        <w:rPr>
          <w:rFonts w:hint="default" w:ascii="Times New Roman" w:hAnsi="Times New Roman" w:eastAsia="黑体" w:cs="Times New Roman"/>
          <w:b w:val="0"/>
          <w:bCs w:val="0"/>
          <w:color w:val="000000"/>
          <w:kern w:val="0"/>
          <w:sz w:val="32"/>
          <w:szCs w:val="32"/>
          <w:highlight w:val="none"/>
          <w:shd w:val="clear" w:color="auto" w:fill="FFFFFF"/>
        </w:rPr>
      </w:pPr>
      <w:r>
        <w:rPr>
          <w:rFonts w:hint="default" w:ascii="Times New Roman" w:hAnsi="Times New Roman" w:eastAsia="黑体" w:cs="Times New Roman"/>
          <w:b w:val="0"/>
          <w:bCs w:val="0"/>
          <w:color w:val="000000"/>
          <w:kern w:val="0"/>
          <w:sz w:val="32"/>
          <w:szCs w:val="32"/>
          <w:highlight w:val="none"/>
          <w:shd w:val="clear" w:color="auto" w:fill="FFFFFF"/>
          <w:lang w:eastAsia="zh-CN"/>
        </w:rPr>
        <w:t>四、</w:t>
      </w:r>
      <w:r>
        <w:rPr>
          <w:rFonts w:hint="default" w:ascii="Times New Roman" w:hAnsi="Times New Roman" w:eastAsia="黑体" w:cs="Times New Roman"/>
          <w:b w:val="0"/>
          <w:bCs w:val="0"/>
          <w:color w:val="000000"/>
          <w:kern w:val="0"/>
          <w:sz w:val="32"/>
          <w:szCs w:val="32"/>
          <w:highlight w:val="none"/>
          <w:shd w:val="clear" w:color="auto" w:fill="FFFFFF"/>
        </w:rPr>
        <w:t>评价结论及建议</w:t>
      </w:r>
    </w:p>
    <w:p>
      <w:pPr>
        <w:keepNext w:val="0"/>
        <w:keepLines w:val="0"/>
        <w:pageBreakBefore w:val="0"/>
        <w:widowControl w:val="0"/>
        <w:kinsoku/>
        <w:wordWrap/>
        <w:overflowPunct w:val="0"/>
        <w:topLinePunct w:val="0"/>
        <w:autoSpaceDE/>
        <w:autoSpaceDN/>
        <w:bidi w:val="0"/>
        <w:spacing w:beforeAutospacing="0" w:afterAutospacing="0" w:line="576" w:lineRule="exact"/>
        <w:ind w:left="0" w:leftChars="0" w:firstLine="640" w:firstLineChars="200"/>
        <w:jc w:val="both"/>
        <w:textAlignment w:val="auto"/>
        <w:rPr>
          <w:rFonts w:hint="default" w:ascii="Times New Roman" w:hAnsi="Times New Roman" w:eastAsia="楷体_GB2312" w:cs="Times New Roman"/>
          <w:b w:val="0"/>
          <w:bCs w:val="0"/>
          <w:color w:val="000000"/>
          <w:kern w:val="0"/>
          <w:sz w:val="32"/>
          <w:szCs w:val="32"/>
          <w:highlight w:val="none"/>
          <w:shd w:val="clear" w:color="auto" w:fill="FFFFFF"/>
          <w:lang w:val="en-US"/>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（一）评价结论。</w:t>
      </w:r>
      <w:r>
        <w:rPr>
          <w:rFonts w:hint="eastAsia" w:ascii="仿宋_GB2312" w:hAnsi="仿宋_GB2312" w:eastAsia="仿宋_GB2312" w:cs="仿宋_GB2312"/>
          <w:b w:val="0"/>
          <w:bCs w:val="0"/>
          <w:color w:val="000000"/>
          <w:kern w:val="0"/>
          <w:sz w:val="32"/>
          <w:szCs w:val="32"/>
          <w:lang w:val="en-US" w:eastAsia="zh-CN" w:bidi="ar"/>
        </w:rPr>
        <w:t>本年度我馆部门整体支出绩效评价自评结果得分</w:t>
      </w:r>
      <w:r>
        <w:rPr>
          <w:rFonts w:hint="eastAsia" w:ascii="仿宋_GB2312" w:hAnsi="仿宋_GB2312" w:eastAsia="仿宋_GB2312" w:cs="仿宋_GB2312"/>
          <w:b w:val="0"/>
          <w:bCs w:val="0"/>
          <w:color w:val="000000"/>
          <w:kern w:val="0"/>
          <w:sz w:val="32"/>
          <w:szCs w:val="32"/>
          <w:lang w:val="en-US" w:eastAsia="zh" w:bidi="ar"/>
        </w:rPr>
        <w:t>93.07</w:t>
      </w:r>
      <w:r>
        <w:rPr>
          <w:rFonts w:hint="eastAsia" w:ascii="仿宋_GB2312" w:hAnsi="仿宋_GB2312" w:eastAsia="仿宋_GB2312" w:cs="仿宋_GB2312"/>
          <w:b w:val="0"/>
          <w:bCs w:val="0"/>
          <w:color w:val="000000"/>
          <w:kern w:val="0"/>
          <w:sz w:val="32"/>
          <w:szCs w:val="32"/>
          <w:lang w:val="en-US" w:eastAsia="zh-CN" w:bidi="ar"/>
        </w:rPr>
        <w:t>分，全年人员类支出保障了单位职工薪金及福利待遇按时足额发放，运转类支出保证了部门正常运行和日常工作的正常开展，特定目标类支出保障了档案重点业务工作的开展，基本达到预期绩效目标。</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contextualSpacing/>
        <w:jc w:val="both"/>
        <w:textAlignment w:val="auto"/>
        <w:outlineLvl w:val="9"/>
        <w:rPr>
          <w:rFonts w:hint="default" w:ascii="Times New Roman" w:hAnsi="Times New Roman" w:eastAsia="楷体_GB2312" w:cs="Times New Roman"/>
          <w:b w:val="0"/>
          <w:bCs w:val="0"/>
          <w:color w:val="000000"/>
          <w:kern w:val="0"/>
          <w:sz w:val="32"/>
          <w:szCs w:val="32"/>
          <w:highlight w:val="none"/>
          <w:shd w:val="clear" w:color="auto" w:fill="FFFFFF"/>
          <w:lang w:val="en-US" w:eastAsia="zh"/>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（二）存在问题。</w:t>
      </w:r>
      <w:r>
        <w:rPr>
          <w:rFonts w:hint="eastAsia" w:ascii="仿宋_GB2312" w:hAnsi="仿宋_GB2312" w:eastAsia="仿宋_GB2312" w:cs="仿宋_GB2312"/>
          <w:b w:val="0"/>
          <w:bCs w:val="0"/>
          <w:color w:val="000000"/>
          <w:kern w:val="0"/>
          <w:sz w:val="32"/>
          <w:szCs w:val="32"/>
          <w:lang w:val="zh-CN" w:eastAsia="zh-CN" w:bidi="ar"/>
        </w:rPr>
        <w:t>一是支出执行进度未能圆满达到序时进度；二是一般性支出预算执行由于工作需要有所增长；三是资产管理水平有待进一步提升。</w:t>
      </w:r>
    </w:p>
    <w:p>
      <w:pPr>
        <w:keepNext w:val="0"/>
        <w:keepLines w:val="0"/>
        <w:pageBreakBefore w:val="0"/>
        <w:widowControl w:val="0"/>
        <w:suppressLineNumbers w:val="0"/>
        <w:kinsoku/>
        <w:wordWrap/>
        <w:overflowPunct w:val="0"/>
        <w:topLinePunct w:val="0"/>
        <w:autoSpaceDE/>
        <w:autoSpaceDN/>
        <w:bidi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（三）改进建议。</w:t>
      </w:r>
      <w:r>
        <w:rPr>
          <w:rFonts w:hint="eastAsia" w:ascii="仿宋_GB2312" w:hAnsi="仿宋_GB2312" w:eastAsia="仿宋_GB2312" w:cs="仿宋_GB2312"/>
          <w:b w:val="0"/>
          <w:bCs w:val="0"/>
          <w:color w:val="000000"/>
          <w:kern w:val="0"/>
          <w:sz w:val="32"/>
          <w:szCs w:val="32"/>
          <w:lang w:val="en-US" w:eastAsia="zh-CN" w:bidi="ar"/>
        </w:rPr>
        <w:t>一是持续提高预算绩效目标编制科学性和准确性。</w:t>
      </w:r>
      <w:r>
        <w:rPr>
          <w:rFonts w:hint="eastAsia" w:ascii="仿宋_GB2312" w:hAnsi="仿宋_GB2312" w:eastAsia="仿宋_GB2312" w:cs="仿宋_GB2312"/>
          <w:b w:val="0"/>
          <w:bCs w:val="0"/>
          <w:sz w:val="32"/>
          <w:szCs w:val="32"/>
          <w:lang w:val="en-US" w:eastAsia="zh-CN"/>
        </w:rPr>
        <w:t>认真贯彻执行预算编制有关规定，加强业务科室与财务部门的协作，结合工作计划，统筹考虑项目绩效完成情况，按照“干多少事，花多少钱”的原则，根据绩效目标指标和指标值进行严格测算，进一步细化量化绩效目标指标值，提高预算绩效目标编制的科学性和准确性。二是</w:t>
      </w:r>
      <w:r>
        <w:rPr>
          <w:rFonts w:hint="eastAsia" w:ascii="仿宋_GB2312" w:hAnsi="仿宋_GB2312" w:eastAsia="仿宋_GB2312" w:cs="仿宋_GB2312"/>
          <w:b w:val="0"/>
          <w:bCs w:val="0"/>
          <w:color w:val="000000"/>
          <w:kern w:val="0"/>
          <w:sz w:val="32"/>
          <w:szCs w:val="32"/>
          <w:lang w:val="en-US" w:eastAsia="zh-CN" w:bidi="ar"/>
        </w:rPr>
        <w:t>加强预算执行监控，提高财政资金使用效率。</w:t>
      </w:r>
      <w:r>
        <w:rPr>
          <w:rFonts w:hint="eastAsia" w:ascii="仿宋_GB2312" w:hAnsi="仿宋_GB2312" w:eastAsia="仿宋_GB2312" w:cs="仿宋_GB2312"/>
          <w:sz w:val="32"/>
          <w:szCs w:val="32"/>
          <w:lang w:val="en-US" w:eastAsia="zh-CN"/>
        </w:rPr>
        <w:t>进一步加强预算执行监控，动态了解和掌握项目资金使用、项目实施管理以及绩效目标实现程度等，定期向馆领导和馆务会汇报预算执行进度，针对执行进度较慢的项目积极查找原因，督促预算执行；在项目执行过程中发现实际情况与预期绩效目标发生偏差时，及时根据相关规定对项目预算和绩效指标作出切合实际的调整，保证项目计划的整体实施效果，加快预算执行进度，确保年度绩效目标实现。三是严控一般性支出，尽最大努力降低行政运行成本。深入贯彻落实党中央、国务院和省委、省政府党政机关过紧日子要求，进一步压减一般性支出。</w:t>
      </w:r>
    </w:p>
    <w:p>
      <w:pPr>
        <w:pStyle w:val="12"/>
        <w:keepNext w:val="0"/>
        <w:keepLines w:val="0"/>
        <w:pageBreakBefore w:val="0"/>
        <w:widowControl w:val="0"/>
        <w:kinsoku/>
        <w:wordWrap/>
        <w:overflowPunct/>
        <w:topLinePunct w:val="0"/>
        <w:autoSpaceDE/>
        <w:autoSpaceDN/>
        <w:bidi w:val="0"/>
        <w:spacing w:beforeAutospacing="0" w:after="0" w:afterAutospacing="0" w:line="576" w:lineRule="exact"/>
        <w:ind w:left="0" w:leftChars="0" w:firstLine="0" w:firstLineChars="0"/>
        <w:textAlignment w:val="auto"/>
        <w:rPr>
          <w:rFonts w:hint="eastAsia" w:ascii="楷体_GB2312" w:hAnsi="楷体_GB2312" w:eastAsia="楷体_GB2312" w:cs="楷体_GB2312"/>
          <w:color w:val="000000"/>
          <w:kern w:val="0"/>
          <w:sz w:val="32"/>
          <w:szCs w:val="32"/>
          <w:lang w:val="en-US" w:eastAsia="zh-CN" w:bidi="ar"/>
        </w:rPr>
      </w:pPr>
    </w:p>
    <w:p>
      <w:pPr>
        <w:pStyle w:val="12"/>
        <w:keepNext w:val="0"/>
        <w:keepLines w:val="0"/>
        <w:pageBreakBefore w:val="0"/>
        <w:widowControl w:val="0"/>
        <w:numPr>
          <w:ilvl w:val="0"/>
          <w:numId w:val="0"/>
        </w:numPr>
        <w:kinsoku/>
        <w:wordWrap/>
        <w:overflowPunct/>
        <w:topLinePunct w:val="0"/>
        <w:autoSpaceDE/>
        <w:autoSpaceDN/>
        <w:bidi w:val="0"/>
        <w:spacing w:beforeAutospacing="0" w:after="0" w:afterAutospacing="0" w:line="576" w:lineRule="exact"/>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w:t>
      </w:r>
      <w:r>
        <w:rPr>
          <w:rFonts w:hint="eastAsia"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年度）</w:t>
      </w:r>
    </w:p>
    <w:p>
      <w:pPr>
        <w:keepNext w:val="0"/>
        <w:keepLines w:val="0"/>
        <w:pageBreakBefore w:val="0"/>
        <w:kinsoku/>
        <w:wordWrap/>
        <w:overflowPunct/>
        <w:topLinePunct w:val="0"/>
        <w:autoSpaceDE/>
        <w:autoSpaceDN/>
        <w:bidi w:val="0"/>
        <w:spacing w:beforeAutospacing="0" w:afterAutospacing="0" w:line="576" w:lineRule="exact"/>
        <w:ind w:left="0" w:leftChars="0" w:right="0" w:firstLine="640" w:firstLineChars="200"/>
        <w:jc w:val="left"/>
        <w:textAlignment w:val="auto"/>
        <w:outlineLvl w:val="1"/>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具体内容详见附表</w:t>
      </w:r>
      <w:r>
        <w:rPr>
          <w:rFonts w:hint="eastAsia" w:ascii="仿宋_GB2312" w:hAnsi="仿宋_GB2312" w:eastAsia="仿宋_GB2312" w:cs="仿宋_GB2312"/>
          <w:color w:val="auto"/>
          <w:sz w:val="32"/>
          <w:szCs w:val="32"/>
          <w:highlight w:val="none"/>
          <w:lang w:val="en-US" w:eastAsia="zh-CN"/>
        </w:rPr>
        <w:br w:type="page"/>
      </w:r>
      <w:bookmarkStart w:id="68" w:name="_Toc25666"/>
      <w:bookmarkStart w:id="69" w:name="_Toc15396618"/>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w:t>
      </w:r>
    </w:p>
    <w:p>
      <w:pPr>
        <w:pStyle w:val="2"/>
        <w:keepNext w:val="0"/>
        <w:keepLines w:val="0"/>
        <w:pageBreakBefore w:val="0"/>
        <w:kinsoku/>
        <w:wordWrap/>
        <w:overflowPunct/>
        <w:topLinePunct w:val="0"/>
        <w:autoSpaceDE/>
        <w:autoSpaceDN/>
        <w:bidi w:val="0"/>
        <w:spacing w:before="0" w:beforeAutospacing="0" w:after="0" w:afterAutospacing="0" w:line="576" w:lineRule="exact"/>
        <w:ind w:left="420" w:leftChars="0"/>
        <w:textAlignment w:val="auto"/>
        <w:rPr>
          <w:rFonts w:hint="eastAsia"/>
          <w:lang w:val="en-US" w:eastAsia="zh-CN"/>
        </w:rPr>
      </w:pPr>
    </w:p>
    <w:p>
      <w:pPr>
        <w:pStyle w:val="23"/>
        <w:keepNext w:val="0"/>
        <w:keepLines w:val="0"/>
        <w:pageBreakBefore w:val="0"/>
        <w:widowControl w:val="0"/>
        <w:shd w:val="clear" w:color="auto" w:fill="auto"/>
        <w:kinsoku/>
        <w:wordWrap/>
        <w:overflowPunct/>
        <w:topLinePunct w:val="0"/>
        <w:autoSpaceDE/>
        <w:autoSpaceDN/>
        <w:bidi w:val="0"/>
        <w:spacing w:beforeAutospacing="0" w:afterAutospacing="0" w:line="576" w:lineRule="exact"/>
        <w:ind w:left="0" w:leftChars="0"/>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2023年广元市档案馆四川省档案事业发展</w:t>
      </w:r>
    </w:p>
    <w:p>
      <w:pPr>
        <w:pStyle w:val="23"/>
        <w:keepNext w:val="0"/>
        <w:keepLines w:val="0"/>
        <w:pageBreakBefore w:val="0"/>
        <w:widowControl w:val="0"/>
        <w:shd w:val="clear" w:color="auto" w:fill="auto"/>
        <w:kinsoku/>
        <w:wordWrap/>
        <w:overflowPunct/>
        <w:topLinePunct w:val="0"/>
        <w:autoSpaceDE/>
        <w:autoSpaceDN/>
        <w:bidi w:val="0"/>
        <w:spacing w:beforeAutospacing="0" w:afterAutospacing="0" w:line="576" w:lineRule="exact"/>
        <w:ind w:left="0" w:leftChars="0"/>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专项资金绩效自评报告</w:t>
      </w:r>
    </w:p>
    <w:p>
      <w:pPr>
        <w:pStyle w:val="23"/>
        <w:keepNext w:val="0"/>
        <w:keepLines w:val="0"/>
        <w:pageBreakBefore w:val="0"/>
        <w:widowControl w:val="0"/>
        <w:shd w:val="clear" w:color="auto" w:fill="auto"/>
        <w:kinsoku/>
        <w:wordWrap/>
        <w:overflowPunct/>
        <w:topLinePunct w:val="0"/>
        <w:autoSpaceDE/>
        <w:autoSpaceDN/>
        <w:bidi w:val="0"/>
        <w:spacing w:beforeAutospacing="0" w:afterAutospacing="0" w:line="576" w:lineRule="exact"/>
        <w:ind w:left="0" w:leftChars="0"/>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p>
    <w:p>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76" w:lineRule="exact"/>
        <w:ind w:left="0" w:leftChars="0" w:firstLine="640" w:firstLineChars="200"/>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一、项目概况</w:t>
      </w:r>
    </w:p>
    <w:p>
      <w:pPr>
        <w:keepNext w:val="0"/>
        <w:keepLines w:val="0"/>
        <w:pageBreakBefore w:val="0"/>
        <w:widowControl/>
        <w:suppressLineNumbers w:val="0"/>
        <w:kinsoku/>
        <w:wordWrap/>
        <w:overflowPunct/>
        <w:topLinePunct w:val="0"/>
        <w:autoSpaceDE/>
        <w:autoSpaceDN/>
        <w:bidi w:val="0"/>
        <w:spacing w:beforeAutospacing="0" w:afterAutospacing="0" w:line="576" w:lineRule="exact"/>
        <w:ind w:left="0" w:leftChars="0" w:firstLine="640" w:firstLineChars="200"/>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Hans"/>
        </w:rPr>
      </w:pPr>
      <w:r>
        <w:rPr>
          <w:rFonts w:hint="eastAsia" w:ascii="楷体_GB2312" w:hAnsi="楷体_GB2312" w:eastAsia="楷体_GB2312" w:cs="楷体_GB2312"/>
          <w:b w:val="0"/>
          <w:bCs w:val="0"/>
          <w:color w:val="auto"/>
          <w:sz w:val="32"/>
          <w:szCs w:val="32"/>
          <w:highlight w:val="none"/>
          <w:u w:val="none"/>
          <w:shd w:val="clear" w:color="auto" w:fill="auto"/>
          <w:lang w:val="zh-CN"/>
        </w:rPr>
        <w:t>（一）设立背景及基本情况。</w:t>
      </w:r>
      <w:r>
        <w:rPr>
          <w:rFonts w:hint="eastAsia" w:ascii="仿宋_GB2312" w:hAnsi="仿宋_GB2312" w:eastAsia="仿宋_GB2312" w:cs="仿宋_GB2312"/>
          <w:b w:val="0"/>
          <w:bCs w:val="0"/>
          <w:color w:val="auto"/>
          <w:kern w:val="0"/>
          <w:sz w:val="32"/>
          <w:szCs w:val="32"/>
          <w:highlight w:val="none"/>
          <w:u w:val="none"/>
          <w:shd w:val="clear" w:color="auto" w:fill="auto"/>
          <w:lang w:val="en-US" w:eastAsia="zh-CN"/>
        </w:rPr>
        <w:t>2021年，广元市档案馆</w:t>
      </w:r>
      <w:r>
        <w:rPr>
          <w:rFonts w:hint="eastAsia" w:ascii="仿宋_GB2312" w:hAnsi="仿宋_GB2312" w:eastAsia="仿宋_GB2312" w:cs="仿宋_GB2312"/>
          <w:b w:val="0"/>
          <w:bCs w:val="0"/>
          <w:color w:val="auto"/>
          <w:kern w:val="0"/>
          <w:sz w:val="32"/>
          <w:szCs w:val="32"/>
          <w:highlight w:val="none"/>
          <w:u w:val="none"/>
          <w:shd w:val="clear" w:color="auto" w:fill="auto"/>
          <w:lang w:val="zh-CN"/>
        </w:rPr>
        <w:t>被省档案局</w:t>
      </w:r>
      <w:r>
        <w:rPr>
          <w:rFonts w:hint="eastAsia" w:ascii="仿宋_GB2312" w:hAnsi="仿宋_GB2312" w:eastAsia="仿宋_GB2312" w:cs="仿宋_GB2312"/>
          <w:b w:val="0"/>
          <w:bCs w:val="0"/>
          <w:color w:val="auto"/>
          <w:kern w:val="0"/>
          <w:sz w:val="32"/>
          <w:szCs w:val="32"/>
          <w:highlight w:val="none"/>
          <w:u w:val="none"/>
          <w:shd w:val="clear" w:color="auto" w:fill="auto"/>
          <w:lang w:val="zh-CN" w:eastAsia="zh-CN"/>
        </w:rPr>
        <w:t>确定为</w:t>
      </w:r>
      <w:r>
        <w:rPr>
          <w:rFonts w:hint="eastAsia" w:ascii="仿宋_GB2312" w:hAnsi="仿宋_GB2312" w:eastAsia="仿宋_GB2312" w:cs="仿宋_GB2312"/>
          <w:b w:val="0"/>
          <w:bCs w:val="0"/>
          <w:color w:val="auto"/>
          <w:kern w:val="0"/>
          <w:sz w:val="32"/>
          <w:szCs w:val="32"/>
          <w:highlight w:val="none"/>
          <w:u w:val="none"/>
          <w:shd w:val="clear" w:color="auto" w:fill="auto"/>
          <w:lang w:val="zh-CN"/>
        </w:rPr>
        <w:t>全省首批数字档案馆建设试点单位，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随后，我馆立即申请信息化专项经费，选</w:t>
      </w:r>
      <w:r>
        <w:rPr>
          <w:rFonts w:hint="eastAsia" w:ascii="仿宋_GB2312" w:hAnsi="仿宋_GB2312" w:eastAsia="仿宋_GB2312" w:cs="仿宋_GB2312"/>
          <w:b w:val="0"/>
          <w:bCs w:val="0"/>
          <w:color w:val="auto"/>
          <w:kern w:val="0"/>
          <w:sz w:val="32"/>
          <w:szCs w:val="32"/>
          <w:highlight w:val="none"/>
          <w:u w:val="none"/>
          <w:shd w:val="clear" w:color="auto" w:fill="auto"/>
          <w:lang w:val="en-US" w:eastAsia="zh-CN"/>
        </w:rPr>
        <w:t>聘设计公司，制定实施方案。2022年，项目</w:t>
      </w:r>
      <w:r>
        <w:rPr>
          <w:rFonts w:hint="eastAsia" w:ascii="仿宋_GB2312" w:hAnsi="仿宋_GB2312" w:eastAsia="仿宋_GB2312" w:cs="仿宋_GB2312"/>
          <w:b w:val="0"/>
          <w:bCs w:val="0"/>
          <w:color w:val="auto"/>
          <w:kern w:val="0"/>
          <w:sz w:val="32"/>
          <w:szCs w:val="32"/>
          <w:highlight w:val="none"/>
          <w:u w:val="none"/>
          <w:shd w:val="clear" w:color="auto" w:fill="auto"/>
          <w:lang w:val="zh-CN" w:eastAsia="zh-CN"/>
        </w:rPr>
        <w:t>经市人民政府批准实施，</w:t>
      </w:r>
      <w:r>
        <w:rPr>
          <w:rFonts w:hint="eastAsia" w:ascii="仿宋_GB2312" w:hAnsi="仿宋_GB2312" w:eastAsia="仿宋_GB2312" w:cs="仿宋_GB2312"/>
          <w:b w:val="0"/>
          <w:bCs w:val="0"/>
          <w:color w:val="auto"/>
          <w:kern w:val="0"/>
          <w:sz w:val="32"/>
          <w:szCs w:val="32"/>
          <w:highlight w:val="none"/>
          <w:u w:val="none"/>
          <w:shd w:val="clear" w:color="auto" w:fill="auto"/>
          <w:lang w:val="en-US" w:eastAsia="zh-CN"/>
        </w:rPr>
        <w:t>先后通过了市经信局技术论证、市发改委立项评审和市财政局财政评审，获批财政预算资金856.23万元（含同年获得四川省档案事业发展专项资金150万元）。</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本项目主要是</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Hans"/>
        </w:rPr>
        <w:t>按照数字档案馆建设</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标准，完成</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Hans"/>
        </w:rPr>
        <w:t>基础设施建设（网络基础设施、系统硬件、基础软件、安全保障系统、终端及辅助设备、档案库房环境监测系统、音视频采集数字化系统）</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Hans"/>
        </w:rPr>
        <w:t>档案数字资源质量提升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Hans"/>
        </w:rPr>
        <w:t>应用系统建设</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Hans"/>
        </w:rPr>
        <w:t>保障体系建设</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，最终建成数字档案馆。我馆主要职责为负责市级机关、团体、企事业单位档案收集、整理、保管和提供利用。</w:t>
      </w:r>
    </w:p>
    <w:p>
      <w:pPr>
        <w:keepNext w:val="0"/>
        <w:keepLines w:val="0"/>
        <w:pageBreakBefore w:val="0"/>
        <w:widowControl/>
        <w:suppressLineNumbers w:val="0"/>
        <w:kinsoku/>
        <w:wordWrap/>
        <w:overflowPunct/>
        <w:topLinePunct w:val="0"/>
        <w:autoSpaceDE/>
        <w:autoSpaceDN/>
        <w:bidi w:val="0"/>
        <w:spacing w:beforeAutospacing="0" w:afterAutospacing="0" w:line="576" w:lineRule="exact"/>
        <w:ind w:left="0" w:leftChars="0" w:firstLine="640" w:firstLineChars="200"/>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
        </w:rPr>
      </w:pPr>
      <w:r>
        <w:rPr>
          <w:rFonts w:hint="eastAsia" w:ascii="楷体_GB2312" w:hAnsi="楷体_GB2312" w:eastAsia="楷体_GB2312" w:cs="楷体_GB2312"/>
          <w:b w:val="0"/>
          <w:bCs w:val="0"/>
          <w:color w:val="auto"/>
          <w:sz w:val="32"/>
          <w:szCs w:val="32"/>
          <w:highlight w:val="none"/>
          <w:u w:val="none"/>
          <w:shd w:val="clear" w:color="auto" w:fill="auto"/>
          <w:lang w:val="zh-CN"/>
        </w:rPr>
        <w:t>（二）</w:t>
      </w:r>
      <w:r>
        <w:rPr>
          <w:rFonts w:hint="eastAsia" w:ascii="楷体_GB2312" w:hAnsi="楷体_GB2312" w:eastAsia="楷体_GB2312" w:cs="楷体_GB2312"/>
          <w:b w:val="0"/>
          <w:bCs w:val="0"/>
          <w:color w:val="auto"/>
          <w:sz w:val="32"/>
          <w:szCs w:val="32"/>
          <w:highlight w:val="none"/>
          <w:u w:val="none"/>
          <w:shd w:val="clear" w:color="auto" w:fill="auto"/>
          <w:lang w:val="en-US" w:eastAsia="zh-CN"/>
        </w:rPr>
        <w:t>实施目的及支持方向。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
        </w:rPr>
        <w:t>本项目严格按照广元市财政局《关于印发〈广元市政务信息化专项资金管理办法（试行）〉的通知》（广财办〔2022〕51号）精神，严格强化项目采购及资金监管，纪检人员全程参与进行。项目实施主要目的是‌推动档案工作信息化、‌标准化和规范化建设，最终达到便捷服务群众目的。主要工作任务为基础设施建设、档案数字资源质量提升、应用系统建设、保障体系建设。</w:t>
      </w:r>
    </w:p>
    <w:p>
      <w:pPr>
        <w:keepNext w:val="0"/>
        <w:keepLines w:val="0"/>
        <w:pageBreakBefore w:val="0"/>
        <w:kinsoku/>
        <w:wordWrap/>
        <w:overflowPunct/>
        <w:topLinePunct w:val="0"/>
        <w:autoSpaceDE/>
        <w:autoSpaceDN/>
        <w:bidi w:val="0"/>
        <w:snapToGrid w:val="0"/>
        <w:spacing w:beforeAutospacing="0" w:afterAutospacing="0" w:line="576" w:lineRule="exact"/>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
        </w:rPr>
      </w:pPr>
      <w:r>
        <w:rPr>
          <w:rFonts w:hint="eastAsia" w:ascii="楷体_GB2312" w:hAnsi="楷体_GB2312" w:eastAsia="楷体_GB2312" w:cs="楷体_GB2312"/>
          <w:b w:val="0"/>
          <w:bCs w:val="0"/>
          <w:color w:val="auto"/>
          <w:sz w:val="32"/>
          <w:szCs w:val="32"/>
          <w:highlight w:val="none"/>
          <w:u w:val="none"/>
          <w:shd w:val="clear" w:color="auto" w:fill="auto"/>
          <w:lang w:val="zh-CN" w:eastAsia="zh-CN"/>
        </w:rPr>
        <w:t>（三）</w:t>
      </w:r>
      <w:r>
        <w:rPr>
          <w:rFonts w:hint="eastAsia" w:ascii="楷体_GB2312" w:hAnsi="楷体_GB2312" w:eastAsia="楷体_GB2312" w:cs="楷体_GB2312"/>
          <w:b w:val="0"/>
          <w:bCs w:val="0"/>
          <w:color w:val="auto"/>
          <w:sz w:val="32"/>
          <w:szCs w:val="32"/>
          <w:highlight w:val="none"/>
          <w:u w:val="none"/>
          <w:shd w:val="clear" w:color="auto" w:fill="auto"/>
          <w:lang w:val="en-US" w:eastAsia="zh-CN"/>
        </w:rPr>
        <w:t>预算安排及分配管理</w:t>
      </w:r>
      <w:r>
        <w:rPr>
          <w:rFonts w:hint="eastAsia" w:ascii="楷体_GB2312" w:hAnsi="楷体_GB2312" w:eastAsia="楷体_GB2312" w:cs="楷体_GB2312"/>
          <w:b w:val="0"/>
          <w:bCs w:val="0"/>
          <w:color w:val="auto"/>
          <w:sz w:val="32"/>
          <w:szCs w:val="32"/>
          <w:highlight w:val="none"/>
          <w:u w:val="none"/>
          <w:shd w:val="clear" w:color="auto" w:fill="auto"/>
          <w:lang w:val="zh-CN"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
        </w:rPr>
        <w:t>根据计划，2023年</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
        </w:rPr>
        <w:t>预算支付</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
        </w:rPr>
        <w:t>393.21万元，主要用于采购基础设施建设硬件设备和档案数字资源质量提升项目（其中</w:t>
      </w:r>
      <w:r>
        <w:rPr>
          <w:rFonts w:hint="eastAsia" w:ascii="仿宋_GB2312" w:hAnsi="仿宋_GB2312" w:eastAsia="仿宋_GB2312" w:cs="仿宋_GB2312"/>
          <w:b w:val="0"/>
          <w:bCs w:val="0"/>
          <w:color w:val="auto"/>
          <w:kern w:val="0"/>
          <w:sz w:val="32"/>
          <w:szCs w:val="32"/>
          <w:highlight w:val="none"/>
          <w:u w:val="none"/>
          <w:shd w:val="clear" w:color="auto" w:fill="auto"/>
          <w:lang w:val="en-US" w:eastAsia="zh-CN"/>
        </w:rPr>
        <w:t>四川省档案事业发展专项资金150万元，市级财政资金243.21万元</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
        </w:rPr>
        <w:t>）。</w:t>
      </w:r>
    </w:p>
    <w:p>
      <w:pPr>
        <w:keepNext w:val="0"/>
        <w:keepLines w:val="0"/>
        <w:pageBreakBefore w:val="0"/>
        <w:shd w:val="clear" w:color="auto" w:fill="auto"/>
        <w:kinsoku/>
        <w:wordWrap/>
        <w:overflowPunct/>
        <w:topLinePunct w:val="0"/>
        <w:autoSpaceDE/>
        <w:autoSpaceDN/>
        <w:bidi w:val="0"/>
        <w:adjustRightInd w:val="0"/>
        <w:snapToGrid w:val="0"/>
        <w:spacing w:beforeAutospacing="0" w:afterAutospacing="0" w:line="576" w:lineRule="exact"/>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
        </w:rPr>
      </w:pPr>
      <w:r>
        <w:rPr>
          <w:rFonts w:hint="eastAsia" w:ascii="楷体_GB2312" w:hAnsi="楷体_GB2312" w:eastAsia="楷体_GB2312" w:cs="楷体_GB2312"/>
          <w:b w:val="0"/>
          <w:bCs w:val="0"/>
          <w:color w:val="auto"/>
          <w:sz w:val="32"/>
          <w:szCs w:val="32"/>
          <w:highlight w:val="none"/>
          <w:u w:val="none"/>
          <w:shd w:val="clear" w:color="auto" w:fill="auto"/>
          <w:lang w:val="zh-CN" w:eastAsia="zh-CN"/>
        </w:rPr>
        <w:t>（四）项目绩效目标设置。</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
        </w:rPr>
        <w:t>项目严格遵照国家档案局《数字档案馆建设指南》《数字档案馆系统测试办法》和《电子档案管理系统基本功能规定》要求建设。其中基础设施建设项目包含：1.数据机房改造建设；2.综合布线改造；3.网络设备增加购置；4.信息交互终端；5.屏幕和信息发布系统；6.视频监控系统；7.档案库房环境监测系统。</w:t>
      </w:r>
    </w:p>
    <w:p>
      <w:pPr>
        <w:keepNext w:val="0"/>
        <w:keepLines w:val="0"/>
        <w:pageBreakBefore w:val="0"/>
        <w:kinsoku/>
        <w:wordWrap/>
        <w:overflowPunct/>
        <w:topLinePunct w:val="0"/>
        <w:autoSpaceDE/>
        <w:autoSpaceDN/>
        <w:bidi w:val="0"/>
        <w:snapToGrid w:val="0"/>
        <w:spacing w:beforeAutospacing="0" w:afterAutospacing="0" w:line="576" w:lineRule="exact"/>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
        </w:rPr>
        <w:t>2023年度预算项目绩效评估工作通过线上与线下相结合方式开展，通过组建评估组开展自行评估，通过收集被评估项目相关基础资料，并查阅资料、收集数据信息等，深入论证分析后，形成绩效评估报告。</w:t>
      </w:r>
    </w:p>
    <w:p>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76" w:lineRule="exact"/>
        <w:ind w:left="0" w:leftChars="0" w:firstLine="640" w:firstLineChars="200"/>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二、评价实施</w:t>
      </w:r>
    </w:p>
    <w:p>
      <w:pPr>
        <w:keepNext w:val="0"/>
        <w:keepLines w:val="0"/>
        <w:pageBreakBefore w:val="0"/>
        <w:widowControl w:val="0"/>
        <w:shd w:val="clear" w:color="auto" w:fill="auto"/>
        <w:kinsoku/>
        <w:wordWrap/>
        <w:overflowPunct/>
        <w:topLinePunct w:val="0"/>
        <w:autoSpaceDE/>
        <w:autoSpaceDN/>
        <w:bidi w:val="0"/>
        <w:spacing w:beforeAutospacing="0" w:afterAutospacing="0" w:line="576" w:lineRule="exact"/>
        <w:ind w:left="0" w:leftChars="0" w:firstLine="640" w:firstLineChars="200"/>
        <w:textAlignment w:val="auto"/>
        <w:outlineLvl w:val="9"/>
        <w:rPr>
          <w:rFonts w:hint="eastAsia" w:ascii="仿宋_GB2312" w:hAnsi="仿宋_GB2312" w:eastAsia="仿宋_GB2312" w:cs="仿宋_GB2312"/>
          <w:b w:val="0"/>
          <w:bCs w:val="0"/>
          <w:strike/>
          <w:dstrike w:val="0"/>
          <w:color w:val="auto"/>
          <w:kern w:val="0"/>
          <w:sz w:val="32"/>
          <w:szCs w:val="32"/>
          <w:highlight w:val="none"/>
          <w:u w:val="none"/>
          <w:shd w:val="clear" w:color="auto" w:fill="FFFFFF"/>
          <w:lang w:val="en-US" w:eastAsia="zh-CN"/>
        </w:rPr>
      </w:pPr>
      <w:r>
        <w:rPr>
          <w:rFonts w:hint="eastAsia" w:ascii="楷体_GB2312" w:hAnsi="楷体_GB2312" w:eastAsia="楷体_GB2312" w:cs="楷体_GB2312"/>
          <w:b w:val="0"/>
          <w:bCs w:val="0"/>
          <w:color w:val="auto"/>
          <w:sz w:val="32"/>
          <w:szCs w:val="32"/>
          <w:highlight w:val="none"/>
          <w:u w:val="none"/>
          <w:shd w:val="clear" w:color="auto" w:fill="auto"/>
          <w:lang w:val="zh-CN"/>
        </w:rPr>
        <w:t>（一）评价目的。</w:t>
      </w:r>
      <w:r>
        <w:rPr>
          <w:rFonts w:hint="eastAsia" w:ascii="仿宋_GB2312" w:hAnsi="仿宋_GB2312" w:eastAsia="仿宋_GB2312" w:cs="仿宋_GB2312"/>
          <w:b w:val="0"/>
          <w:bCs w:val="0"/>
          <w:color w:val="auto"/>
          <w:sz w:val="32"/>
          <w:szCs w:val="32"/>
          <w:highlight w:val="none"/>
          <w:u w:val="none"/>
          <w:lang w:val="zh-CN"/>
        </w:rPr>
        <w:t>科学使用财政资金，有效推进项目开展，顺利完成数字档案馆建设。</w:t>
      </w:r>
    </w:p>
    <w:p>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76"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shd w:val="clear" w:color="auto" w:fill="auto"/>
          <w:lang w:val="zh-CN"/>
        </w:rPr>
        <w:t>（二）预设问题及评价重点。</w:t>
      </w:r>
      <w:r>
        <w:rPr>
          <w:rFonts w:hint="eastAsia" w:ascii="仿宋_GB2312" w:hAnsi="仿宋_GB2312" w:eastAsia="仿宋_GB2312" w:cs="仿宋_GB2312"/>
          <w:b w:val="0"/>
          <w:bCs w:val="0"/>
          <w:color w:val="auto"/>
          <w:sz w:val="32"/>
          <w:szCs w:val="32"/>
          <w:highlight w:val="none"/>
          <w:u w:val="none"/>
          <w:lang w:val="zh-CN"/>
        </w:rPr>
        <w:t>按照绩效评价指标体系，该项资金用于数字档案馆基础设施建设，通过反复研究讨论，预计使用省级预算资金</w:t>
      </w:r>
      <w:r>
        <w:rPr>
          <w:rFonts w:hint="eastAsia" w:ascii="仿宋_GB2312" w:hAnsi="仿宋_GB2312" w:eastAsia="仿宋_GB2312" w:cs="仿宋_GB2312"/>
          <w:b w:val="0"/>
          <w:bCs w:val="0"/>
          <w:color w:val="auto"/>
          <w:sz w:val="32"/>
          <w:szCs w:val="32"/>
          <w:highlight w:val="none"/>
          <w:u w:val="none"/>
          <w:lang w:val="en-US" w:eastAsia="zh-CN"/>
        </w:rPr>
        <w:t>150万元（项目总预算856.23万元）</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
        </w:rPr>
        <w:t>。通过公开招标后实际需要费用为基础设施建设、档案数字资源质量提升项目，合计支付393.21万元（其中</w:t>
      </w:r>
      <w:r>
        <w:rPr>
          <w:rFonts w:hint="eastAsia" w:ascii="仿宋_GB2312" w:hAnsi="仿宋_GB2312" w:eastAsia="仿宋_GB2312" w:cs="仿宋_GB2312"/>
          <w:b w:val="0"/>
          <w:bCs w:val="0"/>
          <w:color w:val="auto"/>
          <w:kern w:val="0"/>
          <w:sz w:val="32"/>
          <w:szCs w:val="32"/>
          <w:highlight w:val="none"/>
          <w:u w:val="none"/>
          <w:shd w:val="clear" w:color="auto" w:fill="auto"/>
          <w:lang w:val="en-US" w:eastAsia="zh-CN"/>
        </w:rPr>
        <w:t>四川省档案事业发展专项资金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
        </w:rPr>
        <w:t>150万元、市级财政资金243.21万元）。发挥了专项资金最佳效果。</w:t>
      </w:r>
    </w:p>
    <w:p>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76"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shd w:val="clear" w:color="auto" w:fill="auto"/>
          <w:lang w:val="zh-CN"/>
        </w:rPr>
        <w:t>（三）评价方法。</w:t>
      </w:r>
      <w:r>
        <w:rPr>
          <w:rFonts w:hint="eastAsia" w:ascii="仿宋_GB2312" w:hAnsi="仿宋_GB2312" w:eastAsia="仿宋_GB2312" w:cs="仿宋_GB2312"/>
          <w:b w:val="0"/>
          <w:bCs w:val="0"/>
          <w:color w:val="auto"/>
          <w:sz w:val="32"/>
          <w:szCs w:val="32"/>
          <w:highlight w:val="none"/>
          <w:u w:val="none"/>
          <w:lang w:val="zh-CN"/>
        </w:rPr>
        <w:t>本项目通过与项目相关人员座谈讨论，咨询相行业专家等方法了解项目情况，收集相关资料，并经综合分析后，对项目的立项必要性、投入经济性、目标合理性、方案可行性以及筹资合规性实施评估。</w:t>
      </w:r>
    </w:p>
    <w:p>
      <w:pPr>
        <w:keepNext w:val="0"/>
        <w:keepLines w:val="0"/>
        <w:pageBreakBefore w:val="0"/>
        <w:widowControl w:val="0"/>
        <w:shd w:val="clear" w:color="auto" w:fill="auto"/>
        <w:kinsoku/>
        <w:wordWrap/>
        <w:overflowPunct/>
        <w:topLinePunct w:val="0"/>
        <w:autoSpaceDE/>
        <w:autoSpaceDN/>
        <w:bidi w:val="0"/>
        <w:spacing w:beforeAutospacing="0" w:afterAutospacing="0" w:line="576" w:lineRule="exact"/>
        <w:ind w:left="0" w:leftChars="0"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color w:val="auto"/>
          <w:sz w:val="32"/>
          <w:szCs w:val="32"/>
          <w:highlight w:val="none"/>
          <w:u w:val="none"/>
          <w:shd w:val="clear" w:color="auto" w:fill="auto"/>
          <w:lang w:val="zh-CN"/>
        </w:rPr>
        <w:t>（四）评价组织。</w:t>
      </w:r>
      <w:r>
        <w:rPr>
          <w:rFonts w:hint="eastAsia" w:ascii="仿宋_GB2312" w:hAnsi="仿宋_GB2312" w:eastAsia="仿宋_GB2312" w:cs="仿宋_GB2312"/>
          <w:b w:val="0"/>
          <w:bCs w:val="0"/>
          <w:color w:val="auto"/>
          <w:sz w:val="32"/>
          <w:szCs w:val="32"/>
          <w:highlight w:val="none"/>
          <w:u w:val="none"/>
          <w:lang w:val="zh-CN"/>
        </w:rPr>
        <w:t>评价工作由办公室牵头，信息技术科具体负责，纪检委员共同参与</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，办公室负责绩效评价及复核，信息技术科负责资金填报，纪检委员全程监督。</w:t>
      </w:r>
    </w:p>
    <w:p>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76" w:lineRule="exact"/>
        <w:ind w:left="0" w:leftChars="0" w:firstLine="640" w:firstLineChars="200"/>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三、绩效分析</w:t>
      </w:r>
    </w:p>
    <w:p>
      <w:pPr>
        <w:keepNext w:val="0"/>
        <w:keepLines w:val="0"/>
        <w:pageBreakBefore w:val="0"/>
        <w:widowControl/>
        <w:suppressLineNumbers w:val="0"/>
        <w:kinsoku/>
        <w:wordWrap/>
        <w:overflowPunct/>
        <w:topLinePunct w:val="0"/>
        <w:autoSpaceDE/>
        <w:autoSpaceDN/>
        <w:bidi w:val="0"/>
        <w:spacing w:beforeAutospacing="0" w:afterAutospacing="0" w:line="576" w:lineRule="exact"/>
        <w:ind w:left="0" w:leftChars="0" w:firstLine="640" w:firstLineChars="200"/>
        <w:jc w:val="left"/>
        <w:textAlignment w:val="auto"/>
        <w:rPr>
          <w:rFonts w:hint="eastAsia" w:ascii="楷体_GB2312" w:hAnsi="楷体_GB2312" w:eastAsia="楷体_GB2312" w:cs="楷体_GB2312"/>
          <w:b w:val="0"/>
          <w:bCs w:val="0"/>
          <w:color w:val="auto"/>
          <w:sz w:val="32"/>
          <w:szCs w:val="32"/>
          <w:highlight w:val="none"/>
          <w:u w:val="none"/>
          <w:shd w:val="clear" w:color="auto" w:fill="auto"/>
          <w:lang w:val="en-US" w:eastAsia="zh-CN"/>
        </w:rPr>
      </w:pPr>
      <w:r>
        <w:rPr>
          <w:rFonts w:hint="eastAsia" w:ascii="楷体_GB2312" w:hAnsi="楷体_GB2312" w:eastAsia="楷体_GB2312" w:cs="楷体_GB2312"/>
          <w:b w:val="0"/>
          <w:bCs w:val="0"/>
          <w:color w:val="auto"/>
          <w:sz w:val="32"/>
          <w:szCs w:val="32"/>
          <w:highlight w:val="none"/>
          <w:u w:val="none"/>
          <w:shd w:val="clear" w:color="auto" w:fill="auto"/>
          <w:lang w:val="zh-CN"/>
        </w:rPr>
        <w:t>（一）</w:t>
      </w:r>
      <w:r>
        <w:rPr>
          <w:rFonts w:hint="eastAsia" w:ascii="楷体_GB2312" w:hAnsi="楷体_GB2312" w:eastAsia="楷体_GB2312" w:cs="楷体_GB2312"/>
          <w:b w:val="0"/>
          <w:bCs w:val="0"/>
          <w:color w:val="auto"/>
          <w:sz w:val="32"/>
          <w:szCs w:val="32"/>
          <w:highlight w:val="none"/>
          <w:u w:val="none"/>
          <w:shd w:val="clear" w:color="auto" w:fill="auto"/>
          <w:lang w:val="en-US" w:eastAsia="zh-CN"/>
        </w:rPr>
        <w:t>通用指标</w:t>
      </w:r>
      <w:r>
        <w:rPr>
          <w:rFonts w:hint="eastAsia" w:ascii="楷体_GB2312" w:hAnsi="楷体_GB2312" w:eastAsia="楷体_GB2312" w:cs="楷体_GB2312"/>
          <w:b w:val="0"/>
          <w:bCs w:val="0"/>
          <w:color w:val="auto"/>
          <w:sz w:val="32"/>
          <w:szCs w:val="32"/>
          <w:highlight w:val="none"/>
          <w:u w:val="none"/>
          <w:shd w:val="clear" w:color="auto" w:fill="auto"/>
          <w:lang w:val="zh-CN"/>
        </w:rPr>
        <w:t>绩效分析</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beforeAutospacing="0" w:afterAutospacing="0" w:line="576"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1.项目决策。项目涉及的重大问题均通过馆务会集体研究决定，设计方案、项目实施方案均通过专家论证，确保决策程序规范民主、规划科学有序、资金投向透明。</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beforeAutospacing="0" w:afterAutospacing="0" w:line="576"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项目管理。成立数字档案馆建设项目推进工作领导小组，设立综合协调组、基础设施建设组、档案数字资源质量提升组和项目建设监督组，制定《数字档案馆建设项目工作流程进度安排表》《数字档案馆迎评工作责任分工表》，进一步明确职责分工，形成各司其职、合力推进的工作格局。</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beforeAutospacing="0" w:afterAutospacing="0" w:line="576"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3.项目实施。严格按照合同要求和项目进度，目前已按合同进度完成省级专项资金100%支付。</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beforeAutospacing="0" w:afterAutospacing="0" w:line="576"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4.项目结果。数字档案馆建设基础设施建设项目已按合同规定完成资金支付，按时按计划完成绩效任务。</w:t>
      </w:r>
    </w:p>
    <w:p>
      <w:pPr>
        <w:keepNext w:val="0"/>
        <w:keepLines w:val="0"/>
        <w:pageBreakBefore w:val="0"/>
        <w:shd w:val="clear" w:color="auto" w:fill="auto"/>
        <w:kinsoku/>
        <w:wordWrap/>
        <w:overflowPunct/>
        <w:topLinePunct w:val="0"/>
        <w:autoSpaceDE/>
        <w:autoSpaceDN/>
        <w:bidi w:val="0"/>
        <w:spacing w:beforeAutospacing="0" w:afterAutospacing="0" w:line="576"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u w:val="none"/>
          <w:shd w:val="clear" w:color="auto" w:fill="auto"/>
          <w:lang w:val="zh-CN"/>
        </w:rPr>
      </w:pPr>
      <w:r>
        <w:rPr>
          <w:rFonts w:hint="eastAsia" w:ascii="楷体_GB2312" w:hAnsi="楷体_GB2312" w:eastAsia="楷体_GB2312" w:cs="楷体_GB2312"/>
          <w:b w:val="0"/>
          <w:bCs w:val="0"/>
          <w:color w:val="auto"/>
          <w:sz w:val="32"/>
          <w:szCs w:val="32"/>
          <w:highlight w:val="none"/>
          <w:u w:val="none"/>
          <w:shd w:val="clear" w:color="auto" w:fill="auto"/>
          <w:lang w:val="zh-CN"/>
        </w:rPr>
        <w:t>（二）</w:t>
      </w:r>
      <w:r>
        <w:rPr>
          <w:rFonts w:hint="eastAsia" w:ascii="楷体_GB2312" w:hAnsi="楷体_GB2312" w:eastAsia="楷体_GB2312" w:cs="楷体_GB2312"/>
          <w:b w:val="0"/>
          <w:bCs w:val="0"/>
          <w:color w:val="auto"/>
          <w:sz w:val="32"/>
          <w:szCs w:val="32"/>
          <w:highlight w:val="none"/>
          <w:u w:val="none"/>
          <w:shd w:val="clear" w:color="auto" w:fill="auto"/>
          <w:lang w:val="en-US" w:eastAsia="zh-CN"/>
        </w:rPr>
        <w:t>专用指标</w:t>
      </w:r>
      <w:r>
        <w:rPr>
          <w:rFonts w:hint="eastAsia" w:ascii="楷体_GB2312" w:hAnsi="楷体_GB2312" w:eastAsia="楷体_GB2312" w:cs="楷体_GB2312"/>
          <w:b w:val="0"/>
          <w:bCs w:val="0"/>
          <w:color w:val="auto"/>
          <w:sz w:val="32"/>
          <w:szCs w:val="32"/>
          <w:highlight w:val="none"/>
          <w:u w:val="none"/>
          <w:shd w:val="clear" w:color="auto" w:fill="auto"/>
          <w:lang w:val="zh-CN"/>
        </w:rPr>
        <w:t>绩效分析</w:t>
      </w:r>
    </w:p>
    <w:p>
      <w:pPr>
        <w:keepNext w:val="0"/>
        <w:keepLines w:val="0"/>
        <w:pageBreakBefore w:val="0"/>
        <w:shd w:val="clear" w:color="auto" w:fill="auto"/>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2023年底，我馆已完成基础设施建设项目，档案数字资源质量提升项目预计2024年7月完成，四川省档案事业发展专项资金150万元和市级财政预算数字档案馆建设项目243.21万元均拨付到位并投入使用，2023年底预算执行率为100%。</w:t>
      </w: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Autospacing="0" w:afterAutospacing="0" w:line="576" w:lineRule="exact"/>
        <w:ind w:left="0" w:leftChars="0" w:firstLine="640" w:firstLineChars="200"/>
        <w:textAlignment w:val="auto"/>
        <w:outlineLvl w:val="9"/>
        <w:rPr>
          <w:rFonts w:hint="eastAsia" w:ascii="楷体_GB2312" w:hAnsi="楷体_GB2312" w:eastAsia="楷体_GB2312" w:cs="楷体_GB2312"/>
          <w:b w:val="0"/>
          <w:bCs w:val="0"/>
          <w:color w:val="auto"/>
          <w:sz w:val="32"/>
          <w:szCs w:val="32"/>
          <w:highlight w:val="none"/>
          <w:u w:val="none"/>
          <w:shd w:val="clear" w:color="auto" w:fill="auto"/>
          <w:lang w:val="zh-CN"/>
        </w:rPr>
      </w:pPr>
      <w:r>
        <w:rPr>
          <w:rFonts w:hint="eastAsia" w:ascii="楷体_GB2312" w:hAnsi="楷体_GB2312" w:eastAsia="楷体_GB2312" w:cs="楷体_GB2312"/>
          <w:b w:val="0"/>
          <w:bCs w:val="0"/>
          <w:color w:val="auto"/>
          <w:sz w:val="32"/>
          <w:szCs w:val="32"/>
          <w:highlight w:val="none"/>
          <w:u w:val="none"/>
          <w:shd w:val="clear" w:color="auto" w:fill="auto"/>
          <w:lang w:val="en-US" w:eastAsia="zh-CN"/>
        </w:rPr>
        <w:t>个性指标</w:t>
      </w:r>
      <w:r>
        <w:rPr>
          <w:rFonts w:hint="eastAsia" w:ascii="楷体_GB2312" w:hAnsi="楷体_GB2312" w:eastAsia="楷体_GB2312" w:cs="楷体_GB2312"/>
          <w:b w:val="0"/>
          <w:bCs w:val="0"/>
          <w:color w:val="auto"/>
          <w:sz w:val="32"/>
          <w:szCs w:val="32"/>
          <w:highlight w:val="none"/>
          <w:u w:val="none"/>
          <w:shd w:val="clear" w:color="auto" w:fill="auto"/>
          <w:lang w:val="zh-CN"/>
        </w:rPr>
        <w:t>绩效分析</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76" w:lineRule="exact"/>
        <w:ind w:left="0" w:leftChars="0" w:firstLine="640" w:firstLineChars="20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不涉及该项。</w:t>
      </w:r>
    </w:p>
    <w:p>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76" w:lineRule="exact"/>
        <w:ind w:left="0" w:leftChars="0" w:firstLine="640" w:firstLineChars="200"/>
        <w:textAlignment w:val="auto"/>
        <w:rPr>
          <w:rFonts w:hint="eastAsia" w:ascii="国标黑体" w:hAnsi="国标黑体" w:eastAsia="国标黑体" w:cs="国标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四、评价结论</w:t>
      </w:r>
    </w:p>
    <w:p>
      <w:pPr>
        <w:pStyle w:val="5"/>
        <w:keepNext w:val="0"/>
        <w:keepLines w:val="0"/>
        <w:pageBreakBefore w:val="0"/>
        <w:numPr>
          <w:ilvl w:val="0"/>
          <w:numId w:val="0"/>
        </w:numPr>
        <w:shd w:val="clear" w:color="auto" w:fill="auto"/>
        <w:tabs>
          <w:tab w:val="left" w:pos="2160"/>
        </w:tabs>
        <w:kinsoku/>
        <w:wordWrap/>
        <w:overflowPunct/>
        <w:topLinePunct w:val="0"/>
        <w:autoSpaceDE/>
        <w:autoSpaceDN/>
        <w:bidi w:val="0"/>
        <w:adjustRightInd/>
        <w:spacing w:beforeLines="0" w:beforeAutospacing="0" w:afterAutospacing="0" w:line="576" w:lineRule="exact"/>
        <w:ind w:left="0" w:leftChars="0" w:firstLine="640" w:firstLineChars="200"/>
        <w:textAlignment w:val="auto"/>
        <w:rPr>
          <w:rFonts w:hint="eastAsia" w:ascii="仿宋_GB2312" w:hAnsi="仿宋_GB2312" w:eastAsia="仿宋_GB2312" w:cs="仿宋_GB2312"/>
          <w:b w:val="0"/>
          <w:bCs w:val="0"/>
          <w:color w:val="auto"/>
          <w:kern w:val="0"/>
          <w:positio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position w:val="0"/>
          <w:sz w:val="32"/>
          <w:szCs w:val="32"/>
          <w:highlight w:val="none"/>
          <w:u w:val="none"/>
          <w:shd w:val="clear" w:color="auto" w:fill="FFFFFF"/>
          <w:lang w:val="en-US" w:eastAsia="zh-CN" w:bidi="ar-SA"/>
        </w:rPr>
        <w:t>我馆数字档案馆建设项目绩效自评总体结论合格，绩效评价总分100分，</w:t>
      </w:r>
      <w:r>
        <w:rPr>
          <w:rFonts w:hint="eastAsia" w:ascii="仿宋_GB2312" w:hAnsi="仿宋_GB2312" w:eastAsia="仿宋_GB2312" w:cs="仿宋_GB2312"/>
          <w:b w:val="0"/>
          <w:bCs w:val="0"/>
          <w:color w:val="auto"/>
          <w:kern w:val="0"/>
          <w:position w:val="0"/>
          <w:sz w:val="32"/>
          <w:szCs w:val="32"/>
          <w:highlight w:val="none"/>
          <w:u w:val="none"/>
          <w:shd w:val="clear" w:color="auto" w:fill="FFFFFF"/>
          <w:lang w:val="zh-CN" w:eastAsia="zh-CN" w:bidi="ar-SA"/>
        </w:rPr>
        <w:t>项目实施科学合理合规。</w:t>
      </w:r>
    </w:p>
    <w:p>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76" w:lineRule="exact"/>
        <w:ind w:left="0" w:leftChars="0" w:firstLine="640" w:firstLineChars="200"/>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五、存在主要问题</w:t>
      </w:r>
    </w:p>
    <w:p>
      <w:pPr>
        <w:keepNext w:val="0"/>
        <w:keepLines w:val="0"/>
        <w:pageBreakBefore w:val="0"/>
        <w:widowControl/>
        <w:suppressLineNumbers w:val="0"/>
        <w:kinsoku/>
        <w:wordWrap/>
        <w:overflowPunct/>
        <w:topLinePunct w:val="0"/>
        <w:autoSpaceDE/>
        <w:autoSpaceDN/>
        <w:bidi w:val="0"/>
        <w:spacing w:beforeAutospacing="0" w:afterAutospacing="0" w:line="576" w:lineRule="exact"/>
        <w:ind w:left="0" w:leftChars="0" w:firstLine="640" w:firstLineChars="200"/>
        <w:jc w:val="left"/>
        <w:textAlignment w:val="auto"/>
        <w:rPr>
          <w:rFonts w:hint="eastAsia" w:ascii="仿宋_GB2312" w:hAnsi="仿宋_GB2312" w:eastAsia="仿宋_GB2312" w:cs="仿宋_GB2312"/>
          <w:b w:val="0"/>
          <w:bCs w:val="0"/>
          <w:color w:val="auto"/>
          <w:kern w:val="0"/>
          <w:positio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position w:val="0"/>
          <w:sz w:val="32"/>
          <w:szCs w:val="32"/>
          <w:highlight w:val="none"/>
          <w:u w:val="none"/>
          <w:shd w:val="clear" w:color="auto" w:fill="FFFFFF"/>
          <w:lang w:val="en-US" w:eastAsia="zh-CN" w:bidi="ar-SA"/>
        </w:rPr>
        <w:t>对绩效评价工作指标解读不够深刻，个别地方填报表述不够精准。</w:t>
      </w:r>
    </w:p>
    <w:p>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76" w:lineRule="exact"/>
        <w:ind w:left="0" w:leftChars="0" w:firstLine="640" w:firstLineChars="200"/>
        <w:textAlignment w:val="auto"/>
        <w:rPr>
          <w:rFonts w:hint="eastAsia" w:ascii="国标黑体" w:hAnsi="国标黑体" w:eastAsia="国标黑体" w:cs="国标黑体"/>
          <w:b w:val="0"/>
          <w:bCs w:val="0"/>
          <w:sz w:val="32"/>
          <w:szCs w:val="32"/>
          <w:highlight w:val="none"/>
          <w:lang w:val="zh-CN" w:eastAsia="zh-CN"/>
        </w:rPr>
      </w:pPr>
      <w:r>
        <w:rPr>
          <w:rFonts w:hint="eastAsia" w:ascii="国标黑体" w:hAnsi="国标黑体" w:eastAsia="国标黑体" w:cs="国标黑体"/>
          <w:b w:val="0"/>
          <w:bCs w:val="0"/>
          <w:sz w:val="32"/>
          <w:szCs w:val="32"/>
          <w:highlight w:val="none"/>
          <w:lang w:val="zh-CN" w:eastAsia="zh-CN"/>
        </w:rPr>
        <w:t>六、改进建议</w:t>
      </w:r>
    </w:p>
    <w:p>
      <w:pPr>
        <w:keepNext w:val="0"/>
        <w:keepLines w:val="0"/>
        <w:pageBreakBefore w:val="0"/>
        <w:widowControl/>
        <w:suppressLineNumbers w:val="0"/>
        <w:kinsoku/>
        <w:wordWrap/>
        <w:overflowPunct/>
        <w:topLinePunct w:val="0"/>
        <w:autoSpaceDE/>
        <w:autoSpaceDN/>
        <w:bidi w:val="0"/>
        <w:spacing w:beforeAutospacing="0" w:afterAutospacing="0" w:line="576" w:lineRule="exact"/>
        <w:ind w:left="0" w:leftChars="0" w:firstLine="640" w:firstLineChars="200"/>
        <w:jc w:val="left"/>
        <w:textAlignment w:val="auto"/>
        <w:rPr>
          <w:rFonts w:hint="eastAsia" w:ascii="仿宋_GB2312" w:hAnsi="仿宋_GB2312" w:eastAsia="仿宋_GB2312" w:cs="仿宋_GB2312"/>
          <w:b w:val="0"/>
          <w:bCs w:val="0"/>
          <w:color w:val="auto"/>
          <w:kern w:val="0"/>
          <w:positio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position w:val="0"/>
          <w:sz w:val="32"/>
          <w:szCs w:val="32"/>
          <w:highlight w:val="none"/>
          <w:u w:val="none"/>
          <w:shd w:val="clear" w:color="auto" w:fill="FFFFFF"/>
          <w:lang w:val="en-US" w:eastAsia="zh-CN" w:bidi="ar-SA"/>
        </w:rPr>
        <w:t>下一步，将加大相关工作人员培训力度，不断提高业务水平，促进绩效工作更加规范有序。‌</w:t>
      </w:r>
    </w:p>
    <w:p>
      <w:pPr>
        <w:pStyle w:val="23"/>
        <w:keepNext w:val="0"/>
        <w:keepLines w:val="0"/>
        <w:pageBreakBefore w:val="0"/>
        <w:widowControl w:val="0"/>
        <w:shd w:val="clear" w:color="auto" w:fill="auto"/>
        <w:kinsoku/>
        <w:wordWrap/>
        <w:overflowPunct/>
        <w:topLinePunct w:val="0"/>
        <w:autoSpaceDE/>
        <w:autoSpaceDN/>
        <w:bidi w:val="0"/>
        <w:spacing w:beforeAutospacing="0" w:afterAutospacing="0" w:line="576" w:lineRule="exact"/>
        <w:ind w:left="0" w:leftChars="0"/>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p>
    <w:p>
      <w:pPr>
        <w:pStyle w:val="2"/>
        <w:rPr>
          <w:rFonts w:hint="eastAsia"/>
          <w:lang w:val="en-US" w:eastAsia="zh-CN"/>
        </w:rPr>
      </w:pPr>
    </w:p>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pPr>
        <w:pStyle w:val="12"/>
        <w:keepNext w:val="0"/>
        <w:keepLines w:val="0"/>
        <w:pageBreakBefore w:val="0"/>
        <w:numPr>
          <w:ilvl w:val="0"/>
          <w:numId w:val="0"/>
        </w:numPr>
        <w:kinsoku/>
        <w:wordWrap/>
        <w:overflowPunct/>
        <w:topLinePunct w:val="0"/>
        <w:autoSpaceDE/>
        <w:autoSpaceDN/>
        <w:bidi w:val="0"/>
        <w:spacing w:after="0" w:line="560" w:lineRule="exact"/>
        <w:ind w:right="0" w:rightChars="0"/>
        <w:jc w:val="center"/>
        <w:textAlignment w:val="auto"/>
        <w:outlineLvl w:val="0"/>
        <w:rPr>
          <w:rStyle w:val="17"/>
          <w:rFonts w:hint="eastAsia" w:ascii="黑体" w:hAnsi="黑体" w:eastAsia="黑体"/>
          <w:b w:val="0"/>
          <w:color w:val="auto"/>
          <w:highlight w:val="none"/>
        </w:rPr>
      </w:pPr>
      <w:r>
        <w:rPr>
          <w:rStyle w:val="17"/>
          <w:rFonts w:hint="eastAsia" w:ascii="黑体" w:hAnsi="黑体" w:eastAsia="黑体"/>
          <w:b w:val="0"/>
          <w:color w:val="auto"/>
          <w:highlight w:val="none"/>
          <w:lang w:val="en-US" w:eastAsia="zh-CN"/>
        </w:rPr>
        <w:t>第五部分</w:t>
      </w:r>
      <w:r>
        <w:rPr>
          <w:rFonts w:hint="eastAsia" w:hAnsi="仿宋_GB2312" w:eastAsia="仿宋_GB2312" w:cs="仿宋_GB2312"/>
          <w:color w:val="auto"/>
          <w:sz w:val="32"/>
          <w:szCs w:val="32"/>
          <w:highlight w:val="none"/>
          <w:lang w:val="en-US" w:eastAsia="zh-CN"/>
        </w:rPr>
        <w:t xml:space="preserve"> </w:t>
      </w:r>
      <w:r>
        <w:rPr>
          <w:rStyle w:val="17"/>
          <w:rFonts w:hint="eastAsia" w:ascii="黑体" w:hAnsi="黑体" w:eastAsia="黑体"/>
          <w:b w:val="0"/>
          <w:color w:val="auto"/>
          <w:highlight w:val="none"/>
        </w:rPr>
        <w:t>附表</w:t>
      </w:r>
      <w:bookmarkEnd w:id="62"/>
      <w:bookmarkEnd w:id="68"/>
      <w:bookmarkEnd w:id="69"/>
      <w:bookmarkStart w:id="70" w:name="_Toc15396619"/>
    </w:p>
    <w:p>
      <w:pPr>
        <w:pStyle w:val="12"/>
        <w:keepNext w:val="0"/>
        <w:keepLines w:val="0"/>
        <w:pageBreakBefore w:val="0"/>
        <w:numPr>
          <w:ilvl w:val="0"/>
          <w:numId w:val="0"/>
        </w:numPr>
        <w:kinsoku/>
        <w:wordWrap/>
        <w:overflowPunct/>
        <w:topLinePunct w:val="0"/>
        <w:autoSpaceDE/>
        <w:autoSpaceDN/>
        <w:bidi w:val="0"/>
        <w:spacing w:after="0" w:line="560" w:lineRule="exact"/>
        <w:ind w:right="0" w:rightChars="0"/>
        <w:jc w:val="both"/>
        <w:textAlignment w:val="auto"/>
        <w:rPr>
          <w:rStyle w:val="17"/>
          <w:rFonts w:hint="eastAsia" w:ascii="黑体" w:hAnsi="黑体" w:eastAsia="黑体"/>
          <w:b w:val="0"/>
          <w:color w:val="auto"/>
          <w:highlight w:val="none"/>
        </w:rPr>
      </w:pPr>
    </w:p>
    <w:p>
      <w:pPr>
        <w:pStyle w:val="4"/>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71" w:name="_Toc16096"/>
      <w:r>
        <w:rPr>
          <w:rFonts w:hint="eastAsia" w:ascii="黑体" w:hAnsi="黑体" w:eastAsia="黑体" w:cs="黑体"/>
          <w:b w:val="0"/>
          <w:color w:val="auto"/>
          <w:highlight w:val="none"/>
        </w:rPr>
        <w:t>一、收</w:t>
      </w:r>
      <w:r>
        <w:rPr>
          <w:rStyle w:val="18"/>
          <w:rFonts w:hint="eastAsia" w:ascii="黑体" w:hAnsi="黑体" w:eastAsia="黑体" w:cs="黑体"/>
          <w:b w:val="0"/>
          <w:bCs w:val="0"/>
          <w:color w:val="auto"/>
          <w:highlight w:val="none"/>
        </w:rPr>
        <w:t>入支出决算总表</w:t>
      </w:r>
      <w:bookmarkEnd w:id="70"/>
      <w:bookmarkEnd w:id="71"/>
    </w:p>
    <w:p>
      <w:pPr>
        <w:pStyle w:val="4"/>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72" w:name="_Toc20144"/>
      <w:bookmarkStart w:id="73" w:name="_Toc15396620"/>
      <w:r>
        <w:rPr>
          <w:rFonts w:hint="eastAsia" w:ascii="黑体" w:hAnsi="黑体" w:eastAsia="黑体" w:cs="黑体"/>
          <w:b w:val="0"/>
          <w:color w:val="auto"/>
          <w:highlight w:val="none"/>
        </w:rPr>
        <w:t>二、收</w:t>
      </w:r>
      <w:r>
        <w:rPr>
          <w:rStyle w:val="18"/>
          <w:rFonts w:hint="eastAsia" w:ascii="黑体" w:hAnsi="黑体" w:eastAsia="黑体" w:cs="黑体"/>
          <w:b w:val="0"/>
          <w:bCs w:val="0"/>
          <w:color w:val="auto"/>
          <w:highlight w:val="none"/>
        </w:rPr>
        <w:t>入决算表</w:t>
      </w:r>
      <w:bookmarkEnd w:id="72"/>
      <w:bookmarkEnd w:id="73"/>
    </w:p>
    <w:p>
      <w:pPr>
        <w:pStyle w:val="4"/>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74" w:name="_Toc28020"/>
      <w:bookmarkStart w:id="75" w:name="_Toc15396621"/>
      <w:r>
        <w:rPr>
          <w:rStyle w:val="18"/>
          <w:rFonts w:hint="eastAsia" w:ascii="黑体" w:hAnsi="黑体" w:eastAsia="黑体" w:cs="黑体"/>
          <w:b w:val="0"/>
          <w:bCs w:val="0"/>
          <w:color w:val="auto"/>
          <w:highlight w:val="none"/>
        </w:rPr>
        <w:t>三、</w:t>
      </w:r>
      <w:r>
        <w:rPr>
          <w:rFonts w:hint="eastAsia" w:ascii="黑体" w:hAnsi="黑体" w:eastAsia="黑体" w:cs="黑体"/>
          <w:b w:val="0"/>
          <w:color w:val="auto"/>
          <w:highlight w:val="none"/>
        </w:rPr>
        <w:t>支</w:t>
      </w:r>
      <w:r>
        <w:rPr>
          <w:rStyle w:val="18"/>
          <w:rFonts w:hint="eastAsia" w:ascii="黑体" w:hAnsi="黑体" w:eastAsia="黑体" w:cs="黑体"/>
          <w:b w:val="0"/>
          <w:bCs w:val="0"/>
          <w:color w:val="auto"/>
          <w:highlight w:val="none"/>
        </w:rPr>
        <w:t>出决算表</w:t>
      </w:r>
      <w:bookmarkEnd w:id="74"/>
      <w:bookmarkEnd w:id="75"/>
    </w:p>
    <w:p>
      <w:pPr>
        <w:pStyle w:val="4"/>
        <w:pageBreakBefore w:val="0"/>
        <w:kinsoku/>
        <w:wordWrap/>
        <w:overflowPunct/>
        <w:topLinePunct w:val="0"/>
        <w:bidi w:val="0"/>
        <w:spacing w:before="0" w:after="0" w:line="560" w:lineRule="exact"/>
        <w:ind w:left="0" w:leftChars="0" w:right="0"/>
        <w:textAlignment w:val="auto"/>
        <w:rPr>
          <w:rFonts w:hint="eastAsia" w:ascii="黑体" w:hAnsi="黑体" w:eastAsia="黑体" w:cs="黑体"/>
          <w:b w:val="0"/>
          <w:color w:val="auto"/>
          <w:highlight w:val="none"/>
        </w:rPr>
      </w:pPr>
      <w:bookmarkStart w:id="76" w:name="_Toc15396622"/>
      <w:bookmarkStart w:id="77" w:name="_Toc24319"/>
      <w:r>
        <w:rPr>
          <w:rStyle w:val="18"/>
          <w:rFonts w:hint="eastAsia" w:ascii="黑体" w:hAnsi="黑体" w:eastAsia="黑体" w:cs="黑体"/>
          <w:b w:val="0"/>
          <w:bCs w:val="0"/>
          <w:color w:val="auto"/>
          <w:highlight w:val="none"/>
        </w:rPr>
        <w:t>四、</w:t>
      </w:r>
      <w:r>
        <w:rPr>
          <w:rFonts w:hint="eastAsia" w:ascii="黑体" w:hAnsi="黑体" w:eastAsia="黑体" w:cs="黑体"/>
          <w:b w:val="0"/>
          <w:color w:val="auto"/>
          <w:highlight w:val="none"/>
        </w:rPr>
        <w:t>财</w:t>
      </w:r>
      <w:r>
        <w:rPr>
          <w:rStyle w:val="18"/>
          <w:rFonts w:hint="eastAsia" w:ascii="黑体" w:hAnsi="黑体" w:eastAsia="黑体" w:cs="黑体"/>
          <w:b w:val="0"/>
          <w:bCs w:val="0"/>
          <w:color w:val="auto"/>
          <w:highlight w:val="none"/>
        </w:rPr>
        <w:t>政拨款收入支出决算总表</w:t>
      </w:r>
      <w:bookmarkEnd w:id="76"/>
      <w:bookmarkEnd w:id="77"/>
    </w:p>
    <w:p>
      <w:pPr>
        <w:pStyle w:val="4"/>
        <w:pageBreakBefore w:val="0"/>
        <w:kinsoku/>
        <w:wordWrap/>
        <w:overflowPunct/>
        <w:topLinePunct w:val="0"/>
        <w:bidi w:val="0"/>
        <w:spacing w:before="0" w:after="0" w:line="560" w:lineRule="exact"/>
        <w:ind w:left="0" w:leftChars="0" w:right="0"/>
        <w:textAlignment w:val="auto"/>
        <w:rPr>
          <w:rStyle w:val="18"/>
          <w:rFonts w:hint="eastAsia" w:ascii="黑体" w:hAnsi="黑体" w:eastAsia="黑体" w:cs="黑体"/>
          <w:b w:val="0"/>
          <w:bCs w:val="0"/>
          <w:color w:val="auto"/>
          <w:highlight w:val="none"/>
        </w:rPr>
      </w:pPr>
      <w:bookmarkStart w:id="78" w:name="_Toc14221"/>
      <w:bookmarkStart w:id="79" w:name="_Toc15396623"/>
      <w:r>
        <w:rPr>
          <w:rStyle w:val="18"/>
          <w:rFonts w:hint="eastAsia" w:ascii="黑体" w:hAnsi="黑体" w:eastAsia="黑体" w:cs="黑体"/>
          <w:b w:val="0"/>
          <w:bCs w:val="0"/>
          <w:color w:val="auto"/>
          <w:highlight w:val="none"/>
        </w:rPr>
        <w:t>五、</w:t>
      </w:r>
      <w:r>
        <w:rPr>
          <w:rFonts w:hint="eastAsia" w:ascii="黑体" w:hAnsi="黑体" w:eastAsia="黑体" w:cs="黑体"/>
          <w:b w:val="0"/>
          <w:color w:val="auto"/>
          <w:highlight w:val="none"/>
        </w:rPr>
        <w:t>财</w:t>
      </w:r>
      <w:r>
        <w:rPr>
          <w:rStyle w:val="18"/>
          <w:rFonts w:hint="eastAsia" w:ascii="黑体" w:hAnsi="黑体" w:eastAsia="黑体" w:cs="黑体"/>
          <w:b w:val="0"/>
          <w:bCs w:val="0"/>
          <w:color w:val="auto"/>
          <w:highlight w:val="none"/>
        </w:rPr>
        <w:t>政拨款支出决算明细表</w:t>
      </w:r>
      <w:bookmarkEnd w:id="78"/>
      <w:bookmarkEnd w:id="79"/>
      <w:bookmarkStart w:id="80" w:name="_Toc15396624"/>
    </w:p>
    <w:p>
      <w:pPr>
        <w:pStyle w:val="4"/>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81" w:name="_Toc8775"/>
      <w:r>
        <w:rPr>
          <w:rStyle w:val="18"/>
          <w:rFonts w:hint="eastAsia" w:ascii="黑体" w:hAnsi="黑体" w:eastAsia="黑体" w:cs="黑体"/>
          <w:b w:val="0"/>
          <w:bCs w:val="0"/>
          <w:color w:val="auto"/>
          <w:highlight w:val="none"/>
        </w:rPr>
        <w:t>六、</w:t>
      </w:r>
      <w:r>
        <w:rPr>
          <w:rFonts w:hint="eastAsia" w:ascii="黑体" w:hAnsi="黑体" w:eastAsia="黑体" w:cs="黑体"/>
          <w:b w:val="0"/>
          <w:color w:val="auto"/>
          <w:highlight w:val="none"/>
        </w:rPr>
        <w:t>一</w:t>
      </w:r>
      <w:r>
        <w:rPr>
          <w:rStyle w:val="18"/>
          <w:rFonts w:hint="eastAsia" w:ascii="黑体" w:hAnsi="黑体" w:eastAsia="黑体" w:cs="黑体"/>
          <w:b w:val="0"/>
          <w:bCs w:val="0"/>
          <w:color w:val="auto"/>
          <w:highlight w:val="none"/>
        </w:rPr>
        <w:t>般公共预算财政拨款支出决算表</w:t>
      </w:r>
      <w:bookmarkEnd w:id="80"/>
      <w:bookmarkEnd w:id="81"/>
    </w:p>
    <w:p>
      <w:pPr>
        <w:pStyle w:val="4"/>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82" w:name="_Toc15396625"/>
      <w:bookmarkStart w:id="83" w:name="_Toc20761"/>
      <w:r>
        <w:rPr>
          <w:rStyle w:val="18"/>
          <w:rFonts w:hint="eastAsia" w:ascii="黑体" w:hAnsi="黑体" w:eastAsia="黑体" w:cs="黑体"/>
          <w:b w:val="0"/>
          <w:bCs w:val="0"/>
          <w:color w:val="auto"/>
          <w:highlight w:val="none"/>
        </w:rPr>
        <w:t>七、</w:t>
      </w:r>
      <w:r>
        <w:rPr>
          <w:rFonts w:hint="eastAsia" w:ascii="黑体" w:hAnsi="黑体" w:eastAsia="黑体" w:cs="黑体"/>
          <w:b w:val="0"/>
          <w:color w:val="auto"/>
          <w:highlight w:val="none"/>
        </w:rPr>
        <w:t>一</w:t>
      </w:r>
      <w:r>
        <w:rPr>
          <w:rStyle w:val="18"/>
          <w:rFonts w:hint="eastAsia" w:ascii="黑体" w:hAnsi="黑体" w:eastAsia="黑体" w:cs="黑体"/>
          <w:b w:val="0"/>
          <w:bCs w:val="0"/>
          <w:color w:val="auto"/>
          <w:highlight w:val="none"/>
        </w:rPr>
        <w:t>般公共预算财政拨款支出决算明细表</w:t>
      </w:r>
      <w:bookmarkEnd w:id="82"/>
      <w:bookmarkEnd w:id="83"/>
    </w:p>
    <w:p>
      <w:pPr>
        <w:pStyle w:val="4"/>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84" w:name="_Toc21267"/>
      <w:bookmarkStart w:id="85" w:name="_Toc15396626"/>
      <w:r>
        <w:rPr>
          <w:rStyle w:val="18"/>
          <w:rFonts w:hint="eastAsia" w:ascii="黑体" w:hAnsi="黑体" w:eastAsia="黑体" w:cs="黑体"/>
          <w:b w:val="0"/>
          <w:bCs w:val="0"/>
          <w:color w:val="auto"/>
          <w:highlight w:val="none"/>
        </w:rPr>
        <w:t>八、</w:t>
      </w:r>
      <w:r>
        <w:rPr>
          <w:rFonts w:hint="eastAsia" w:ascii="黑体" w:hAnsi="黑体" w:eastAsia="黑体" w:cs="黑体"/>
          <w:b w:val="0"/>
          <w:color w:val="auto"/>
          <w:highlight w:val="none"/>
        </w:rPr>
        <w:t>一</w:t>
      </w:r>
      <w:r>
        <w:rPr>
          <w:rStyle w:val="18"/>
          <w:rFonts w:hint="eastAsia" w:ascii="黑体" w:hAnsi="黑体" w:eastAsia="黑体" w:cs="黑体"/>
          <w:b w:val="0"/>
          <w:bCs w:val="0"/>
          <w:color w:val="auto"/>
          <w:highlight w:val="none"/>
        </w:rPr>
        <w:t>般公共预算财政拨款基本支出决算表</w:t>
      </w:r>
      <w:bookmarkEnd w:id="84"/>
      <w:bookmarkEnd w:id="85"/>
    </w:p>
    <w:p>
      <w:pPr>
        <w:pStyle w:val="4"/>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86" w:name="_Toc15396627"/>
      <w:bookmarkStart w:id="87" w:name="_Toc20356"/>
      <w:r>
        <w:rPr>
          <w:rStyle w:val="18"/>
          <w:rFonts w:hint="eastAsia" w:ascii="黑体" w:hAnsi="黑体" w:eastAsia="黑体" w:cs="黑体"/>
          <w:b w:val="0"/>
          <w:bCs w:val="0"/>
          <w:color w:val="auto"/>
          <w:highlight w:val="none"/>
        </w:rPr>
        <w:t>九、</w:t>
      </w:r>
      <w:r>
        <w:rPr>
          <w:rFonts w:hint="eastAsia" w:ascii="黑体" w:hAnsi="黑体" w:eastAsia="黑体" w:cs="黑体"/>
          <w:b w:val="0"/>
          <w:color w:val="auto"/>
          <w:highlight w:val="none"/>
        </w:rPr>
        <w:t>一</w:t>
      </w:r>
      <w:r>
        <w:rPr>
          <w:rStyle w:val="18"/>
          <w:rFonts w:hint="eastAsia" w:ascii="黑体" w:hAnsi="黑体" w:eastAsia="黑体" w:cs="黑体"/>
          <w:b w:val="0"/>
          <w:bCs w:val="0"/>
          <w:color w:val="auto"/>
          <w:highlight w:val="none"/>
        </w:rPr>
        <w:t>般公共预算财政拨款项目支出决算表</w:t>
      </w:r>
      <w:bookmarkEnd w:id="86"/>
      <w:bookmarkEnd w:id="87"/>
    </w:p>
    <w:p>
      <w:pPr>
        <w:pStyle w:val="4"/>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88" w:name="_Toc15396628"/>
      <w:bookmarkStart w:id="89" w:name="_Toc2559"/>
      <w:r>
        <w:rPr>
          <w:rStyle w:val="18"/>
          <w:rFonts w:hint="eastAsia" w:ascii="黑体" w:hAnsi="黑体" w:eastAsia="黑体" w:cs="黑体"/>
          <w:b w:val="0"/>
          <w:bCs w:val="0"/>
          <w:color w:val="auto"/>
          <w:highlight w:val="none"/>
        </w:rPr>
        <w:t>十、</w:t>
      </w:r>
      <w:bookmarkEnd w:id="88"/>
      <w:r>
        <w:rPr>
          <w:rFonts w:hint="eastAsia" w:ascii="黑体" w:hAnsi="黑体" w:eastAsia="黑体" w:cs="黑体"/>
          <w:b w:val="0"/>
          <w:color w:val="auto"/>
          <w:highlight w:val="none"/>
        </w:rPr>
        <w:t>政</w:t>
      </w:r>
      <w:r>
        <w:rPr>
          <w:rStyle w:val="18"/>
          <w:rFonts w:hint="eastAsia" w:ascii="黑体" w:hAnsi="黑体" w:eastAsia="黑体" w:cs="黑体"/>
          <w:b w:val="0"/>
          <w:bCs w:val="0"/>
          <w:color w:val="auto"/>
          <w:highlight w:val="none"/>
        </w:rPr>
        <w:t>府性基金预算财政拨款收入支出决算表</w:t>
      </w:r>
      <w:bookmarkEnd w:id="89"/>
    </w:p>
    <w:p>
      <w:pPr>
        <w:pStyle w:val="4"/>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90" w:name="_Toc15396629"/>
      <w:bookmarkStart w:id="91" w:name="_Toc26198"/>
      <w:r>
        <w:rPr>
          <w:rStyle w:val="18"/>
          <w:rFonts w:hint="eastAsia" w:ascii="黑体" w:hAnsi="黑体" w:eastAsia="黑体" w:cs="黑体"/>
          <w:b w:val="0"/>
          <w:bCs w:val="0"/>
          <w:color w:val="auto"/>
          <w:highlight w:val="none"/>
        </w:rPr>
        <w:t>十一、</w:t>
      </w:r>
      <w:bookmarkEnd w:id="90"/>
      <w:r>
        <w:rPr>
          <w:rFonts w:hint="eastAsia" w:ascii="黑体" w:hAnsi="黑体" w:eastAsia="黑体" w:cs="黑体"/>
          <w:b w:val="0"/>
          <w:color w:val="auto"/>
          <w:highlight w:val="none"/>
        </w:rPr>
        <w:t>国</w:t>
      </w:r>
      <w:r>
        <w:rPr>
          <w:rStyle w:val="18"/>
          <w:rFonts w:hint="eastAsia" w:ascii="黑体" w:hAnsi="黑体" w:eastAsia="黑体" w:cs="黑体"/>
          <w:b w:val="0"/>
          <w:bCs w:val="0"/>
          <w:color w:val="auto"/>
          <w:highlight w:val="none"/>
        </w:rPr>
        <w:t>有资本经营预算</w:t>
      </w:r>
      <w:r>
        <w:rPr>
          <w:rStyle w:val="18"/>
          <w:rFonts w:hint="eastAsia" w:ascii="黑体" w:hAnsi="黑体" w:eastAsia="黑体" w:cs="黑体"/>
          <w:b w:val="0"/>
          <w:bCs w:val="0"/>
          <w:color w:val="auto"/>
          <w:highlight w:val="none"/>
          <w:lang w:eastAsia="zh-CN"/>
        </w:rPr>
        <w:t>财政拨款收入</w:t>
      </w:r>
      <w:r>
        <w:rPr>
          <w:rStyle w:val="18"/>
          <w:rFonts w:hint="eastAsia" w:ascii="黑体" w:hAnsi="黑体" w:eastAsia="黑体" w:cs="黑体"/>
          <w:b w:val="0"/>
          <w:bCs w:val="0"/>
          <w:color w:val="auto"/>
          <w:highlight w:val="none"/>
        </w:rPr>
        <w:t>支出决算表</w:t>
      </w:r>
      <w:bookmarkEnd w:id="91"/>
    </w:p>
    <w:p>
      <w:pPr>
        <w:pStyle w:val="4"/>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92" w:name="_Toc15396630"/>
      <w:bookmarkStart w:id="93" w:name="_Toc7271"/>
      <w:r>
        <w:rPr>
          <w:rStyle w:val="18"/>
          <w:rFonts w:hint="eastAsia" w:ascii="黑体" w:hAnsi="黑体" w:eastAsia="黑体" w:cs="黑体"/>
          <w:b w:val="0"/>
          <w:bCs w:val="0"/>
          <w:color w:val="auto"/>
          <w:highlight w:val="none"/>
        </w:rPr>
        <w:t>十二、</w:t>
      </w:r>
      <w:bookmarkEnd w:id="92"/>
      <w:r>
        <w:rPr>
          <w:rStyle w:val="18"/>
          <w:rFonts w:hint="eastAsia" w:ascii="黑体" w:hAnsi="黑体" w:eastAsia="黑体" w:cs="黑体"/>
          <w:b w:val="0"/>
          <w:bCs w:val="0"/>
          <w:color w:val="auto"/>
          <w:highlight w:val="none"/>
          <w:lang w:eastAsia="zh-CN"/>
        </w:rPr>
        <w:t>国有资本经营预算财政拨款支出决算表</w:t>
      </w:r>
      <w:bookmarkEnd w:id="93"/>
    </w:p>
    <w:p>
      <w:pPr>
        <w:pStyle w:val="4"/>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lang w:eastAsia="zh-CN"/>
        </w:rPr>
      </w:pPr>
      <w:bookmarkStart w:id="94" w:name="_Toc15396631"/>
      <w:bookmarkStart w:id="95" w:name="_Toc3494"/>
      <w:r>
        <w:rPr>
          <w:rStyle w:val="18"/>
          <w:rFonts w:hint="eastAsia" w:ascii="黑体" w:hAnsi="黑体" w:eastAsia="黑体" w:cs="黑体"/>
          <w:b w:val="0"/>
          <w:bCs w:val="0"/>
          <w:color w:val="auto"/>
          <w:highlight w:val="none"/>
        </w:rPr>
        <w:t>十三、</w:t>
      </w:r>
      <w:bookmarkEnd w:id="94"/>
      <w:r>
        <w:rPr>
          <w:rStyle w:val="18"/>
          <w:rFonts w:hint="eastAsia" w:ascii="黑体" w:hAnsi="黑体" w:eastAsia="黑体" w:cs="黑体"/>
          <w:b w:val="0"/>
          <w:bCs w:val="0"/>
          <w:color w:val="auto"/>
          <w:highlight w:val="none"/>
          <w:lang w:eastAsia="zh-CN"/>
        </w:rPr>
        <w:t>财政拨款“三公”经费支出决算表</w:t>
      </w:r>
      <w:bookmarkEnd w:id="95"/>
    </w:p>
    <w:p>
      <w:pPr>
        <w:pageBreakBefore w:val="0"/>
        <w:kinsoku/>
        <w:wordWrap/>
        <w:overflowPunct/>
        <w:topLinePunct w:val="0"/>
        <w:bidi w:val="0"/>
        <w:spacing w:line="560" w:lineRule="exact"/>
        <w:ind w:left="0" w:leftChars="0" w:right="0"/>
        <w:textAlignment w:val="auto"/>
      </w:pPr>
    </w:p>
    <w:sectPr>
      <w:footerReference r:id="rId8" w:type="default"/>
      <w:pgSz w:w="11906" w:h="16838"/>
      <w:pgMar w:top="1440" w:right="1474" w:bottom="1440"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libri Light">
    <w:altName w:val="Lucida Sans"/>
    <w:panose1 w:val="020F0302020204030204"/>
    <w:charset w:val="00"/>
    <w:family w:val="auto"/>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华文中宋"/>
    <w:panose1 w:val="00000000000000000000"/>
    <w:charset w:val="00"/>
    <w:family w:val="roman"/>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3810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3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BgPEbH0gAAAAUBAAAPAAAAAAAAAAEAIAAAADgAAABkcnMvZG93bnJldi54bWxQSwEC&#10;FAAUAAAACACHTuJAMwCZWB0CAAArBAAADgAAAAAAAAABACAAAAA3AQAAZHJzL2Uyb0RvYy54bWxQ&#10;SwUGAAAAAAYABgBZAQAAxg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clear" w:pos="4153"/>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5701"/>
      </w:tabs>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E8E30"/>
    <w:multiLevelType w:val="singleLevel"/>
    <w:tmpl w:val="FDEE8E3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doNotShadeFormData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FED9B95D"/>
    <w:rsid w:val="0E6A4CF0"/>
    <w:rsid w:val="13DF0B6A"/>
    <w:rsid w:val="3A7F897B"/>
    <w:rsid w:val="3B4D67D0"/>
    <w:rsid w:val="3DCF16AC"/>
    <w:rsid w:val="3FFB3573"/>
    <w:rsid w:val="4C9E677E"/>
    <w:rsid w:val="55D302E7"/>
    <w:rsid w:val="5767F846"/>
    <w:rsid w:val="5A3B7E07"/>
    <w:rsid w:val="5B3FCEB3"/>
    <w:rsid w:val="5D5A6970"/>
    <w:rsid w:val="5DE78B82"/>
    <w:rsid w:val="5DFF1601"/>
    <w:rsid w:val="67BA9E06"/>
    <w:rsid w:val="67FE3A8B"/>
    <w:rsid w:val="779A1964"/>
    <w:rsid w:val="7EE34A06"/>
    <w:rsid w:val="7EF9532F"/>
    <w:rsid w:val="7EFABD23"/>
    <w:rsid w:val="7EFE87B1"/>
    <w:rsid w:val="7FEDD8DB"/>
    <w:rsid w:val="A7F3761F"/>
    <w:rsid w:val="B63FDBA8"/>
    <w:rsid w:val="BDD64659"/>
    <w:rsid w:val="E59BC979"/>
    <w:rsid w:val="EDFF8643"/>
    <w:rsid w:val="EFFEBD5C"/>
    <w:rsid w:val="FBE7EE4A"/>
    <w:rsid w:val="FDE17CC5"/>
    <w:rsid w:val="FED9B95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99"/>
    <w:pPr>
      <w:spacing w:before="100" w:beforeAutospacing="1" w:after="100" w:afterAutospacing="1"/>
      <w:ind w:left="400" w:leftChars="200" w:hanging="200" w:hangingChars="200"/>
    </w:pPr>
    <w:rPr>
      <w:rFonts w:ascii="Times New Roman" w:hAnsi="Times New Roman"/>
    </w:rPr>
  </w:style>
  <w:style w:type="paragraph" w:styleId="5">
    <w:name w:val="Body Text"/>
    <w:basedOn w:val="1"/>
    <w:next w:val="6"/>
    <w:qFormat/>
    <w:uiPriority w:val="99"/>
    <w:pPr>
      <w:spacing w:beforeLines="30"/>
    </w:pPr>
    <w:rPr>
      <w:rFonts w:ascii="仿宋_GB2312" w:eastAsia="仿宋_GB2312"/>
      <w:kern w:val="0"/>
      <w:sz w:val="30"/>
    </w:rPr>
  </w:style>
  <w:style w:type="paragraph" w:styleId="6">
    <w:name w:val="Plain Text"/>
    <w:basedOn w:val="1"/>
    <w:qFormat/>
    <w:uiPriority w:val="99"/>
    <w:rPr>
      <w:rFonts w:ascii="宋体" w:hAnsi="Courier New" w:cs="宋体"/>
    </w:rPr>
  </w:style>
  <w:style w:type="paragraph" w:styleId="7">
    <w:name w:val="Body Text Indent"/>
    <w:basedOn w:val="1"/>
    <w:qFormat/>
    <w:uiPriority w:val="0"/>
    <w:pPr>
      <w:spacing w:after="120"/>
      <w:ind w:leftChars="200"/>
    </w:pPr>
    <w:rPr>
      <w:rFonts w:ascii="仿宋_GB2312"/>
      <w:szCs w:val="32"/>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Body Text First Indent 2"/>
    <w:basedOn w:val="7"/>
    <w:unhideWhenUsed/>
    <w:qFormat/>
    <w:uiPriority w:val="99"/>
    <w:pPr>
      <w:ind w:firstLine="420" w:firstLineChars="200"/>
    </w:pPr>
  </w:style>
  <w:style w:type="character" w:styleId="15">
    <w:name w:val="Strong"/>
    <w:basedOn w:val="14"/>
    <w:qFormat/>
    <w:uiPriority w:val="99"/>
    <w:rPr>
      <w:b/>
    </w:rPr>
  </w:style>
  <w:style w:type="character" w:styleId="16">
    <w:name w:val="Hyperlink"/>
    <w:basedOn w:val="14"/>
    <w:unhideWhenUsed/>
    <w:qFormat/>
    <w:uiPriority w:val="99"/>
    <w:rPr>
      <w:color w:val="0563C1"/>
      <w:u w:val="single"/>
    </w:rPr>
  </w:style>
  <w:style w:type="character" w:customStyle="1" w:styleId="17">
    <w:name w:val="标题 1 Char"/>
    <w:basedOn w:val="14"/>
    <w:link w:val="3"/>
    <w:qFormat/>
    <w:uiPriority w:val="9"/>
    <w:rPr>
      <w:b/>
      <w:bCs/>
      <w:kern w:val="44"/>
      <w:sz w:val="44"/>
      <w:szCs w:val="44"/>
    </w:rPr>
  </w:style>
  <w:style w:type="character" w:customStyle="1" w:styleId="18">
    <w:name w:val="标题 2 Char"/>
    <w:basedOn w:val="14"/>
    <w:link w:val="4"/>
    <w:qFormat/>
    <w:uiPriority w:val="9"/>
    <w:rPr>
      <w:rFonts w:ascii="Calibri Light" w:hAnsi="Calibri Light" w:eastAsia="宋体" w:cs="Times New Roman"/>
      <w:b/>
      <w:bCs/>
      <w:sz w:val="32"/>
      <w:szCs w:val="32"/>
    </w:rPr>
  </w:style>
  <w:style w:type="paragraph" w:styleId="19">
    <w:name w:val="List Paragraph"/>
    <w:basedOn w:val="1"/>
    <w:qFormat/>
    <w:uiPriority w:val="34"/>
    <w:pPr>
      <w:ind w:firstLine="420" w:firstLineChars="200"/>
    </w:p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1">
    <w:name w:val="WPSOffice手动目录 1"/>
    <w:qFormat/>
    <w:uiPriority w:val="0"/>
    <w:pPr>
      <w:ind w:leftChars="0"/>
    </w:pPr>
    <w:rPr>
      <w:rFonts w:ascii="Calibri" w:hAnsi="Calibri" w:eastAsia="宋体" w:cs="Times New Roman"/>
      <w:sz w:val="20"/>
      <w:szCs w:val="20"/>
    </w:rPr>
  </w:style>
  <w:style w:type="paragraph" w:customStyle="1" w:styleId="22">
    <w:name w:val="WPSOffice手动目录 2"/>
    <w:qFormat/>
    <w:uiPriority w:val="0"/>
    <w:pPr>
      <w:ind w:leftChars="200"/>
    </w:pPr>
    <w:rPr>
      <w:rFonts w:ascii="Calibri" w:hAnsi="Calibri" w:eastAsia="宋体" w:cs="Times New Roman"/>
      <w:sz w:val="20"/>
      <w:szCs w:val="20"/>
    </w:rPr>
  </w:style>
  <w:style w:type="paragraph" w:customStyle="1" w:styleId="23">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true"/>
          <a:lstStyle/>
          <a:p>
            <a:pPr defTabSz="914400">
              <a:defRPr lang="zh-CN" sz="1000" b="0" i="0" u="none" strike="noStrike" kern="1200" spc="0" baseline="0">
                <a:solidFill>
                  <a:schemeClr val="tx1">
                    <a:lumMod val="65000"/>
                    <a:lumOff val="35000"/>
                  </a:schemeClr>
                </a:solidFill>
                <a:latin typeface="+mn-lt"/>
                <a:ea typeface="+mn-ea"/>
                <a:cs typeface="+mn-cs"/>
              </a:defRPr>
            </a:pPr>
            <a:r>
              <a:rPr sz="1000"/>
              <a:t>图</a:t>
            </a:r>
            <a:r>
              <a:rPr lang="en-US" altLang="zh-CN" sz="1000"/>
              <a:t>1</a:t>
            </a:r>
            <a:r>
              <a:rPr altLang="en-US" sz="1000"/>
              <a:t>：收、支决算总计变动情况图</a:t>
            </a:r>
            <a:endParaRPr altLang="en-US" sz="1000"/>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系列 1</c:v>
                </c:pt>
              </c:strCache>
            </c:strRef>
          </c:tx>
          <c:spPr>
            <a:solidFill>
              <a:schemeClr val="accent3"/>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2022年</c:v>
                </c:pt>
                <c:pt idx="1">
                  <c:v>2023年</c:v>
                </c:pt>
                <c:pt idx="2">
                  <c:v>单位：万元</c:v>
                </c:pt>
              </c:strCache>
            </c:strRef>
          </c:cat>
          <c:val>
            <c:numRef>
              <c:f>Sheet1!$B$2:$B$4</c:f>
              <c:numCache>
                <c:formatCode>General</c:formatCode>
                <c:ptCount val="3"/>
                <c:pt idx="0">
                  <c:v>771.64</c:v>
                </c:pt>
                <c:pt idx="1">
                  <c:v>1213.65</c:v>
                </c:pt>
              </c:numCache>
            </c:numRef>
          </c:val>
        </c:ser>
        <c:dLbls>
          <c:showLegendKey val="false"/>
          <c:showVal val="true"/>
          <c:showCatName val="false"/>
          <c:showSerName val="false"/>
          <c:showPercent val="false"/>
          <c:showBubbleSize val="false"/>
        </c:dLbls>
        <c:gapWidth val="219"/>
        <c:overlap val="-27"/>
        <c:axId val="624558679"/>
        <c:axId val="276358642"/>
      </c:barChart>
      <c:catAx>
        <c:axId val="62455867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76358642"/>
        <c:crosses val="autoZero"/>
        <c:auto val="true"/>
        <c:lblAlgn val="ctr"/>
        <c:lblOffset val="100"/>
        <c:noMultiLvlLbl val="false"/>
      </c:catAx>
      <c:valAx>
        <c:axId val="276358642"/>
        <c:scaling>
          <c:orientation val="minMax"/>
          <c:max val="1400"/>
          <c:min val="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24558679"/>
        <c:crosses val="autoZero"/>
        <c:crossBetween val="between"/>
        <c:majorUnit val="200"/>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000" b="0" i="0" u="none" strike="noStrike" kern="1200" spc="0" baseline="0">
                <a:solidFill>
                  <a:schemeClr val="tx1">
                    <a:lumMod val="65000"/>
                    <a:lumOff val="35000"/>
                  </a:schemeClr>
                </a:solidFill>
                <a:latin typeface="+mn-lt"/>
                <a:ea typeface="+mn-ea"/>
                <a:cs typeface="+mn-cs"/>
              </a:defRPr>
            </a:pPr>
            <a:r>
              <a:rPr sz="1000"/>
              <a:t>图</a:t>
            </a:r>
            <a:r>
              <a:rPr lang="en-US" altLang="zh-CN" sz="1000"/>
              <a:t>2</a:t>
            </a:r>
            <a:r>
              <a:rPr altLang="en-US" sz="1000"/>
              <a:t>：收入决算结构图</a:t>
            </a:r>
            <a:endParaRPr altLang="en-US" sz="1000"/>
          </a:p>
        </c:rich>
      </c:tx>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2"/>
              </a:solidFill>
              <a:ln w="19050">
                <a:solidFill>
                  <a:schemeClr val="lt1"/>
                </a:solidFill>
              </a:ln>
              <a:effectLst/>
            </c:spPr>
          </c:dPt>
          <c:dLbls>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1213.65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000" b="0" i="0" u="none" strike="noStrike" kern="1200" spc="0" baseline="0">
                <a:solidFill>
                  <a:schemeClr val="tx1">
                    <a:lumMod val="65000"/>
                    <a:lumOff val="35000"/>
                  </a:schemeClr>
                </a:solidFill>
                <a:latin typeface="+mn-lt"/>
                <a:ea typeface="+mn-ea"/>
                <a:cs typeface="+mn-cs"/>
              </a:defRPr>
            </a:pPr>
            <a:r>
              <a:rPr sz="1000"/>
              <a:t>图</a:t>
            </a:r>
            <a:r>
              <a:rPr lang="en-US" altLang="zh-CN" sz="1000"/>
              <a:t>3</a:t>
            </a:r>
            <a:r>
              <a:rPr altLang="en-US" sz="1000"/>
              <a:t>：支出决算结构图</a:t>
            </a:r>
            <a:endParaRPr altLang="en-US" sz="1000"/>
          </a:p>
        </c:rich>
      </c:tx>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3"/>
              </a:solidFill>
              <a:ln w="19050">
                <a:solidFill>
                  <a:schemeClr val="lt1"/>
                </a:solidFill>
              </a:ln>
              <a:effectLst/>
            </c:spPr>
          </c:dPt>
          <c:dLbls>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725.52</c:v>
                </c:pt>
                <c:pt idx="1">
                  <c:v>488.13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true"/>
          <a:lstStyle/>
          <a:p>
            <a:pPr defTabSz="914400">
              <a:defRPr lang="zh-CN" sz="1000" b="0" i="0" u="none" strike="noStrike" kern="1200" spc="0" baseline="0">
                <a:solidFill>
                  <a:schemeClr val="tx1">
                    <a:lumMod val="65000"/>
                    <a:lumOff val="35000"/>
                  </a:schemeClr>
                </a:solidFill>
                <a:latin typeface="+mn-lt"/>
                <a:ea typeface="+mn-ea"/>
                <a:cs typeface="+mn-cs"/>
              </a:defRPr>
            </a:pPr>
            <a:r>
              <a:rPr sz="1000"/>
              <a:t>图</a:t>
            </a:r>
            <a:r>
              <a:rPr lang="en-US" altLang="zh-CN" sz="1000"/>
              <a:t>4</a:t>
            </a:r>
            <a:r>
              <a:rPr altLang="en-US" sz="1000"/>
              <a:t>：财政拨款收、支决算总计变动情况</a:t>
            </a:r>
            <a:endParaRPr altLang="en-US" sz="1000"/>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系列 1</c:v>
                </c:pt>
              </c:strCache>
            </c:strRef>
          </c:tx>
          <c:spPr>
            <a:solidFill>
              <a:schemeClr val="accent3"/>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2022年</c:v>
                </c:pt>
                <c:pt idx="1">
                  <c:v>2023年</c:v>
                </c:pt>
                <c:pt idx="2">
                  <c:v>单位：万元</c:v>
                </c:pt>
              </c:strCache>
            </c:strRef>
          </c:cat>
          <c:val>
            <c:numRef>
              <c:f>Sheet1!$B$2:$B$4</c:f>
              <c:numCache>
                <c:formatCode>General</c:formatCode>
                <c:ptCount val="3"/>
                <c:pt idx="0">
                  <c:v>752.42</c:v>
                </c:pt>
                <c:pt idx="1">
                  <c:v>1213.65</c:v>
                </c:pt>
              </c:numCache>
            </c:numRef>
          </c:val>
        </c:ser>
        <c:dLbls>
          <c:showLegendKey val="false"/>
          <c:showVal val="true"/>
          <c:showCatName val="false"/>
          <c:showSerName val="false"/>
          <c:showPercent val="false"/>
          <c:showBubbleSize val="false"/>
        </c:dLbls>
        <c:gapWidth val="219"/>
        <c:overlap val="-27"/>
        <c:axId val="624558679"/>
        <c:axId val="276358642"/>
      </c:barChart>
      <c:catAx>
        <c:axId val="62455867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76358642"/>
        <c:crosses val="autoZero"/>
        <c:auto val="true"/>
        <c:lblAlgn val="ctr"/>
        <c:lblOffset val="100"/>
        <c:noMultiLvlLbl val="false"/>
      </c:catAx>
      <c:valAx>
        <c:axId val="276358642"/>
        <c:scaling>
          <c:orientation val="minMax"/>
          <c:max val="1400"/>
          <c:min val="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24558679"/>
        <c:crosses val="autoZero"/>
        <c:crossBetween val="between"/>
        <c:majorUnit val="200"/>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true"/>
          <a:lstStyle/>
          <a:p>
            <a:pPr defTabSz="914400">
              <a:defRPr lang="zh-CN" sz="1000" b="0" i="0" u="none" strike="noStrike" kern="1200" spc="0" baseline="0">
                <a:solidFill>
                  <a:schemeClr val="tx1">
                    <a:lumMod val="65000"/>
                    <a:lumOff val="35000"/>
                  </a:schemeClr>
                </a:solidFill>
                <a:latin typeface="+mn-ea"/>
                <a:ea typeface="+mn-ea"/>
                <a:cs typeface="+mn-ea"/>
                <a:sym typeface="+mn-ea"/>
              </a:defRPr>
            </a:pPr>
            <a:r>
              <a:rPr sz="1000">
                <a:latin typeface="+mn-ea"/>
                <a:ea typeface="+mn-ea"/>
                <a:cs typeface="+mn-ea"/>
                <a:sym typeface="+mn-ea"/>
              </a:rPr>
              <a:t>图</a:t>
            </a:r>
            <a:r>
              <a:rPr lang="en-US" altLang="zh-CN" sz="1000">
                <a:latin typeface="+mn-ea"/>
                <a:ea typeface="+mn-ea"/>
                <a:cs typeface="+mn-ea"/>
                <a:sym typeface="+mn-ea"/>
              </a:rPr>
              <a:t>5</a:t>
            </a:r>
            <a:r>
              <a:rPr altLang="en-US" sz="1000">
                <a:latin typeface="+mn-ea"/>
                <a:ea typeface="+mn-ea"/>
                <a:cs typeface="+mn-ea"/>
                <a:sym typeface="+mn-ea"/>
              </a:rPr>
              <a:t>：一般公共预算财政拨款支出决算变动情况</a:t>
            </a:r>
            <a:endParaRPr altLang="en-US" sz="1000">
              <a:latin typeface="+mn-ea"/>
              <a:ea typeface="+mn-ea"/>
              <a:cs typeface="+mn-ea"/>
              <a:sym typeface="+mn-ea"/>
            </a:endParaRPr>
          </a:p>
        </c:rich>
      </c:tx>
      <c:layout/>
      <c:overlay val="false"/>
      <c:spPr>
        <a:noFill/>
        <a:ln>
          <a:noFill/>
        </a:ln>
        <a:effectLst/>
      </c:spPr>
    </c:title>
    <c:autoTitleDeleted val="false"/>
    <c:plotArea>
      <c:layout/>
      <c:barChart>
        <c:barDir val="col"/>
        <c:grouping val="clustered"/>
        <c:varyColors val="false"/>
        <c:ser>
          <c:idx val="0"/>
          <c:order val="0"/>
          <c:tx>
            <c:strRef>
              <c:f>Sheet1!#REF!</c:f>
              <c:strCache>
                <c:ptCount val="1"/>
                <c:pt idx="0">
                  <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Sheet1!$A$1:$A$3</c:f>
              <c:strCache>
                <c:ptCount val="3"/>
                <c:pt idx="0">
                  <c:v>2022年</c:v>
                </c:pt>
                <c:pt idx="1">
                  <c:v>2023年</c:v>
                </c:pt>
                <c:pt idx="2">
                  <c:v>单位：万元</c:v>
                </c:pt>
              </c:strCache>
            </c:strRef>
          </c:cat>
          <c:val>
            <c:numRef>
              <c:f>Sheet1!$B$1:$B$3</c:f>
              <c:numCache>
                <c:formatCode>General</c:formatCode>
                <c:ptCount val="3"/>
                <c:pt idx="0">
                  <c:v>752.42</c:v>
                </c:pt>
                <c:pt idx="1">
                  <c:v>1213.65</c:v>
                </c:pt>
              </c:numCache>
            </c:numRef>
          </c:val>
        </c:ser>
        <c:dLbls>
          <c:showLegendKey val="false"/>
          <c:showVal val="true"/>
          <c:showCatName val="false"/>
          <c:showSerName val="false"/>
          <c:showPercent val="false"/>
          <c:showBubbleSize val="false"/>
        </c:dLbls>
        <c:gapWidth val="219"/>
        <c:overlap val="-27"/>
        <c:axId val="880020952"/>
        <c:axId val="908582063"/>
      </c:barChart>
      <c:catAx>
        <c:axId val="880020952"/>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8582063"/>
        <c:crosses val="autoZero"/>
        <c:auto val="true"/>
        <c:lblAlgn val="ctr"/>
        <c:lblOffset val="100"/>
        <c:noMultiLvlLbl val="false"/>
      </c:catAx>
      <c:valAx>
        <c:axId val="908582063"/>
        <c:scaling>
          <c:orientation val="minMax"/>
          <c:max val="1400"/>
          <c:min val="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80020952"/>
        <c:crosses val="autoZero"/>
        <c:crossBetween val="between"/>
        <c:majorUnit val="200"/>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000" b="0" i="0" u="none" strike="noStrike" kern="1200" spc="0" baseline="0">
                <a:solidFill>
                  <a:schemeClr val="tx1">
                    <a:lumMod val="65000"/>
                    <a:lumOff val="35000"/>
                  </a:schemeClr>
                </a:solidFill>
                <a:latin typeface="+mn-ea"/>
                <a:ea typeface="+mn-ea"/>
                <a:cs typeface="+mn-ea"/>
                <a:sym typeface="+mn-ea"/>
              </a:defRPr>
            </a:pPr>
            <a:r>
              <a:rPr sz="1000">
                <a:latin typeface="+mn-ea"/>
                <a:ea typeface="+mn-ea"/>
                <a:cs typeface="+mn-ea"/>
                <a:sym typeface="+mn-ea"/>
              </a:rPr>
              <a:t>图</a:t>
            </a:r>
            <a:r>
              <a:rPr lang="en-US" altLang="zh-CN" sz="1000">
                <a:latin typeface="+mn-ea"/>
                <a:ea typeface="+mn-ea"/>
                <a:cs typeface="+mn-ea"/>
                <a:sym typeface="+mn-ea"/>
              </a:rPr>
              <a:t>6</a:t>
            </a:r>
            <a:r>
              <a:rPr altLang="en-US" sz="1000">
                <a:latin typeface="+mn-ea"/>
                <a:ea typeface="+mn-ea"/>
                <a:cs typeface="+mn-ea"/>
                <a:sym typeface="+mn-ea"/>
              </a:rPr>
              <a:t>：一般公共预算财政拨款支出决算结构</a:t>
            </a:r>
            <a:endParaRPr altLang="en-US" sz="1000">
              <a:latin typeface="+mn-ea"/>
              <a:ea typeface="+mn-ea"/>
              <a:cs typeface="+mn-ea"/>
              <a:sym typeface="+mn-ea"/>
            </a:endParaRPr>
          </a:p>
        </c:rich>
      </c:tx>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explosion val="1"/>
            <c:spPr>
              <a:solidFill>
                <a:schemeClr val="accent6"/>
              </a:solidFill>
              <a:ln w="19050">
                <a:solidFill>
                  <a:schemeClr val="lt1"/>
                </a:solidFill>
              </a:ln>
              <a:effectLst/>
            </c:spPr>
          </c:dPt>
          <c:dPt>
            <c:idx val="1"/>
            <c:bubble3D val="false"/>
            <c:spPr>
              <a:solidFill>
                <a:schemeClr val="accent5"/>
              </a:solidFill>
              <a:ln w="19050">
                <a:solidFill>
                  <a:schemeClr val="lt1"/>
                </a:solidFill>
              </a:ln>
              <a:effectLst/>
            </c:spPr>
          </c:dPt>
          <c:dPt>
            <c:idx val="2"/>
            <c:bubble3D val="false"/>
            <c:spPr>
              <a:solidFill>
                <a:schemeClr val="accent4"/>
              </a:solidFill>
              <a:ln w="19050">
                <a:solidFill>
                  <a:schemeClr val="lt1"/>
                </a:solidFill>
              </a:ln>
              <a:effectLst/>
            </c:spPr>
          </c:dPt>
          <c:dPt>
            <c:idx val="3"/>
            <c:bubble3D val="false"/>
            <c:spPr>
              <a:solidFill>
                <a:schemeClr val="accent6">
                  <a:lumMod val="60000"/>
                </a:schemeClr>
              </a:solidFill>
              <a:ln w="19050">
                <a:solidFill>
                  <a:schemeClr val="lt1"/>
                </a:solidFill>
              </a:ln>
              <a:effectLst/>
            </c:spPr>
          </c:dPt>
          <c:dLbls>
            <c:dLbl>
              <c:idx val="1"/>
              <c:layout>
                <c:manualLayout>
                  <c:x val="-0.107367402869579"/>
                  <c:y val="0.103705752212389"/>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2"/>
              <c:layout>
                <c:manualLayout>
                  <c:x val="-0.0706109946799936"/>
                  <c:y val="0"/>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3"/>
              <c:layout>
                <c:manualLayout>
                  <c:x val="0.131065613412865"/>
                  <c:y val="0"/>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1050.61</c:v>
                </c:pt>
                <c:pt idx="1">
                  <c:v>88.55</c:v>
                </c:pt>
                <c:pt idx="2">
                  <c:v>26.86</c:v>
                </c:pt>
                <c:pt idx="3">
                  <c:v>47.63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000" b="0" i="0" u="none" strike="noStrike" kern="1200" spc="0" baseline="0">
                <a:solidFill>
                  <a:schemeClr val="tx1">
                    <a:lumMod val="65000"/>
                    <a:lumOff val="35000"/>
                  </a:schemeClr>
                </a:solidFill>
                <a:latin typeface="+mn-lt"/>
                <a:ea typeface="+mn-ea"/>
                <a:cs typeface="+mn-cs"/>
              </a:defRPr>
            </a:pPr>
            <a:r>
              <a:rPr sz="1000"/>
              <a:t>图</a:t>
            </a:r>
            <a:r>
              <a:rPr lang="en-US" altLang="zh-CN" sz="1000"/>
              <a:t>7</a:t>
            </a:r>
            <a:r>
              <a:rPr altLang="en-US" sz="1000"/>
              <a:t>：“三公”经费财政拨款支出结构</a:t>
            </a:r>
            <a:endParaRPr altLang="en-US" sz="1000"/>
          </a:p>
        </c:rich>
      </c:tx>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c:v>
                </c:pt>
                <c:pt idx="1">
                  <c:v>公务接待费</c:v>
                </c:pt>
              </c:strCache>
            </c:strRef>
          </c:cat>
          <c:val>
            <c:numRef>
              <c:f>Sheet1!$B$2:$B$3</c:f>
              <c:numCache>
                <c:formatCode>General</c:formatCode>
                <c:ptCount val="2"/>
                <c:pt idx="0">
                  <c:v>2.6</c:v>
                </c:pt>
                <c:pt idx="1">
                  <c:v>0.24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10193</Words>
  <Characters>11039</Characters>
  <Lines>0</Lines>
  <Paragraphs>0</Paragraphs>
  <TotalTime>195</TotalTime>
  <ScaleCrop>false</ScaleCrop>
  <LinksUpToDate>false</LinksUpToDate>
  <CharactersWithSpaces>11143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2023-09-23T15:35:00Z</dcterms:created>
  <dc:creator>user</dc:creator>
  <cp:lastModifiedBy>user</cp:lastModifiedBy>
  <cp:lastPrinted>2024-09-14T21:12:00Z</cp:lastPrinted>
  <dcterms:modified xsi:type="dcterms:W3CDTF">2024-09-30T11:20:09Z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45452444CF6D40A2ACFC6DC6D808D4F7_12</vt:lpwstr>
  </property>
</Properties>
</file>