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both"/>
        <w:rPr>
          <w:rFonts w:hint="eastAsia" w:ascii="Times New Roman" w:hAnsi="Times New Roman" w:eastAsia="方正小标宋简体" w:cs="Times New Roman"/>
          <w:color w:val="auto"/>
          <w:kern w:val="2"/>
          <w:sz w:val="44"/>
          <w:szCs w:val="44"/>
          <w:highlight w:val="none"/>
          <w:lang w:val="en-US" w:eastAsia="zh-CN" w:bidi="ar-SA"/>
        </w:rPr>
      </w:pPr>
      <w:bookmarkStart w:id="0" w:name="_Toc15377425"/>
      <w:bookmarkStart w:id="1" w:name="_Toc15396597"/>
      <w:bookmarkStart w:id="2" w:name="_Toc15378441"/>
      <w:bookmarkStart w:id="3" w:name="_Toc15396475"/>
      <w:bookmarkStart w:id="4" w:name="_Toc15377193"/>
      <w:bookmarkStart w:id="5" w:name="_Toc15306267"/>
    </w:p>
    <w:p>
      <w:pPr>
        <w:pStyle w:val="6"/>
        <w:jc w:val="both"/>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77426"/>
      <w:bookmarkStart w:id="7" w:name="_Toc15396476"/>
      <w:bookmarkStart w:id="8" w:name="_Toc15377194"/>
      <w:bookmarkStart w:id="9" w:name="_Toc15378442"/>
      <w:bookmarkStart w:id="10" w:name="_Toc15396598"/>
      <w:r>
        <w:rPr>
          <w:rFonts w:hint="eastAsia" w:ascii="Times New Roman" w:hAnsi="Times New Roman" w:eastAsia="方正小标宋简体" w:cs="Times New Roman"/>
          <w:color w:val="auto"/>
          <w:kern w:val="2"/>
          <w:sz w:val="44"/>
          <w:szCs w:val="44"/>
          <w:highlight w:val="none"/>
          <w:lang w:val="en-US" w:eastAsia="zh-CN" w:bidi="ar-SA"/>
        </w:rPr>
        <w:t>2024年度</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广元市档案馆</w:t>
      </w: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黑体" w:hAnsi="黑体" w:eastAsia="黑体" w:cs="黑体"/>
          <w:kern w:val="2"/>
          <w:sz w:val="44"/>
          <w:szCs w:val="44"/>
          <w:lang w:val="en-US" w:eastAsia="zh-CN" w:bidi="ar-SA"/>
        </w:rPr>
        <w:sectPr>
          <w:headerReference r:id="rId3" w:type="default"/>
          <w:footerReference r:id="rId4" w:type="default"/>
          <w:pgSz w:w="11906" w:h="16838"/>
          <w:pgMar w:top="1440" w:right="1474" w:bottom="1440" w:left="1587" w:header="851" w:footer="992" w:gutter="0"/>
          <w:pgNumType w:fmt="decimal" w:start="1"/>
          <w:cols w:space="425" w:num="1"/>
          <w:titlePg/>
          <w:docGrid w:type="lines" w:linePitch="312" w:charSpace="0"/>
        </w:sectPr>
      </w:pPr>
    </w:p>
    <w:sdt>
      <w:sdtPr>
        <w:rPr>
          <w:rFonts w:hint="eastAsia" w:ascii="黑体" w:hAnsi="黑体" w:eastAsia="黑体" w:cs="黑体"/>
          <w:kern w:val="2"/>
          <w:sz w:val="44"/>
          <w:szCs w:val="44"/>
          <w:lang w:val="en-US" w:eastAsia="zh-CN" w:bidi="ar-SA"/>
        </w:rPr>
        <w:id w:val="675407751"/>
        <w15:color w:val="DBDBDB"/>
        <w:docPartObj>
          <w:docPartGallery w:val="Table of Contents"/>
          <w:docPartUnique/>
        </w:docPartObj>
      </w:sdtPr>
      <w:sdtEndPr>
        <w:rPr>
          <w:rFonts w:hint="eastAsia" w:ascii="黑体" w:hAnsi="黑体" w:eastAsia="黑体" w:cs="黑体"/>
          <w:b/>
          <w:kern w:val="2"/>
          <w:sz w:val="44"/>
          <w:szCs w:val="44"/>
          <w:lang w:val="en-US" w:eastAsia="zh-CN" w:bidi="ar-SA"/>
        </w:rPr>
      </w:sdtEndPr>
      <w:sdtContent>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0"/>
            <w:rPr>
              <w:rFonts w:hint="eastAsia" w:ascii="仿宋" w:hAnsi="仿宋" w:eastAsia="仿宋"/>
              <w:b/>
              <w:color w:val="auto"/>
              <w:sz w:val="24"/>
              <w:highlight w:val="none"/>
            </w:rPr>
          </w:pPr>
          <w:bookmarkStart w:id="12" w:name="_Toc17052"/>
          <w:r>
            <w:rPr>
              <w:rFonts w:hint="eastAsia" w:ascii="仿宋" w:hAnsi="仿宋" w:eastAsia="仿宋"/>
              <w:b/>
              <w:color w:val="auto"/>
              <w:sz w:val="24"/>
              <w:highlight w:val="none"/>
            </w:rPr>
            <w:t>公开时间：202</w:t>
          </w:r>
          <w:r>
            <w:rPr>
              <w:rFonts w:hint="eastAsia" w:ascii="仿宋" w:hAnsi="仿宋" w:eastAsia="仿宋"/>
              <w:b/>
              <w:color w:val="auto"/>
              <w:sz w:val="24"/>
              <w:highlight w:val="none"/>
              <w:lang w:val="en-US" w:eastAsia="zh-CN"/>
            </w:rPr>
            <w:t>5</w:t>
          </w:r>
          <w:r>
            <w:rPr>
              <w:rFonts w:hint="eastAsia" w:ascii="仿宋" w:hAnsi="仿宋" w:eastAsia="仿宋"/>
              <w:b/>
              <w:color w:val="auto"/>
              <w:sz w:val="24"/>
              <w:highlight w:val="none"/>
            </w:rPr>
            <w:t>年</w:t>
          </w:r>
          <w:r>
            <w:rPr>
              <w:rFonts w:hint="eastAsia" w:ascii="仿宋" w:hAnsi="仿宋" w:eastAsia="仿宋"/>
              <w:b/>
              <w:color w:val="auto"/>
              <w:sz w:val="24"/>
              <w:highlight w:val="none"/>
              <w:lang w:val="en-US" w:eastAsia="zh-CN"/>
            </w:rPr>
            <w:t>10</w:t>
          </w:r>
          <w:r>
            <w:rPr>
              <w:rFonts w:hint="eastAsia" w:ascii="仿宋" w:hAnsi="仿宋" w:eastAsia="仿宋"/>
              <w:b/>
              <w:color w:val="auto"/>
              <w:sz w:val="24"/>
              <w:highlight w:val="none"/>
            </w:rPr>
            <w:t>月</w:t>
          </w:r>
          <w:r>
            <w:rPr>
              <w:rFonts w:hint="eastAsia" w:ascii="仿宋" w:hAnsi="仿宋" w:eastAsia="仿宋"/>
              <w:b/>
              <w:color w:val="auto"/>
              <w:sz w:val="24"/>
              <w:highlight w:val="none"/>
              <w:lang w:val="en-US" w:eastAsia="zh-CN"/>
            </w:rPr>
            <w:t>2</w:t>
          </w:r>
          <w:r>
            <w:rPr>
              <w:rFonts w:hint="eastAsia" w:ascii="仿宋" w:hAnsi="仿宋" w:eastAsia="仿宋"/>
              <w:b/>
              <w:color w:val="auto"/>
              <w:sz w:val="24"/>
              <w:highlight w:val="none"/>
            </w:rPr>
            <w:t>日</w:t>
          </w:r>
          <w:bookmarkEnd w:id="12"/>
        </w:p>
        <w:p>
          <w:pPr>
            <w:pStyle w:val="2"/>
            <w:keepNext w:val="0"/>
            <w:keepLines w:val="0"/>
            <w:pageBreakBefore w:val="0"/>
            <w:kinsoku/>
            <w:wordWrap/>
            <w:overflowPunct/>
            <w:topLinePunct w:val="0"/>
            <w:autoSpaceDE/>
            <w:autoSpaceDN/>
            <w:bidi w:val="0"/>
            <w:adjustRightInd/>
            <w:snapToGrid/>
            <w:spacing w:before="0" w:beforeAutospacing="0" w:after="0" w:afterAutospacing="0"/>
            <w:ind w:left="420" w:leftChars="0"/>
            <w:textAlignment w:val="auto"/>
            <w:rPr>
              <w:rFonts w:hint="eastAsia"/>
            </w:rPr>
          </w:pPr>
        </w:p>
        <w:p>
          <w:pPr>
            <w:pStyle w:val="39"/>
            <w:keepNext w:val="0"/>
            <w:keepLines w:val="0"/>
            <w:pageBreakBefore w:val="0"/>
            <w:widowControl/>
            <w:tabs>
              <w:tab w:val="right" w:leader="dot" w:pos="8845"/>
            </w:tabs>
            <w:kinsoku/>
            <w:wordWrap/>
            <w:overflowPunct/>
            <w:topLinePunct w:val="0"/>
            <w:autoSpaceDE/>
            <w:autoSpaceDN/>
            <w:bidi w:val="0"/>
            <w:adjustRightInd/>
            <w:snapToGrid/>
            <w:spacing w:beforeAutospacing="0" w:afterAutospacing="0" w:line="600" w:lineRule="exact"/>
            <w:ind w:left="0" w:leftChars="0"/>
            <w:textAlignment w:val="auto"/>
            <w:rPr>
              <w:rFonts w:hint="eastAsia" w:ascii="黑体" w:hAnsi="黑体" w:eastAsia="黑体" w:cs="黑体"/>
              <w:b w:val="0"/>
              <w:bCs/>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TOC \o "1-2" \h \u </w:instrText>
          </w:r>
          <w:r>
            <w:rPr>
              <w:rFonts w:hint="eastAsia" w:ascii="黑体" w:hAnsi="黑体" w:eastAsia="黑体" w:cs="黑体"/>
              <w:sz w:val="28"/>
              <w:szCs w:val="28"/>
            </w:rPr>
            <w:fldChar w:fldCharType="separate"/>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HYPERLINK \l _Toc980095775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highlight w:val="none"/>
            </w:rPr>
            <w:t>第一部分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rPr>
            <w:t xml:space="preserve"> 部门概况</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_Toc980095775 \h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rPr>
            <w:fldChar w:fldCharType="end"/>
          </w:r>
        </w:p>
        <w:p>
          <w:pPr>
            <w:pStyle w:val="40"/>
            <w:keepNext w:val="0"/>
            <w:keepLines w:val="0"/>
            <w:pageBreakBefore w:val="0"/>
            <w:widowControl/>
            <w:tabs>
              <w:tab w:val="right" w:leader="dot" w:pos="8845"/>
            </w:tabs>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HYPERLINK \l _Toc1019610300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highlight w:val="none"/>
              <w:lang w:eastAsia="zh-CN"/>
            </w:rPr>
            <w:t>一、部门职责</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_Toc1019610300 \h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rPr>
            <w:fldChar w:fldCharType="end"/>
          </w:r>
        </w:p>
        <w:p>
          <w:pPr>
            <w:pStyle w:val="40"/>
            <w:keepNext w:val="0"/>
            <w:keepLines w:val="0"/>
            <w:pageBreakBefore w:val="0"/>
            <w:widowControl/>
            <w:tabs>
              <w:tab w:val="right" w:leader="dot" w:pos="8845"/>
            </w:tabs>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HYPERLINK \l _Toc1411483826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highlight w:val="none"/>
            </w:rPr>
            <w:t>二、机构设置</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_Toc1411483826 \h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rPr>
            <w:fldChar w:fldCharType="end"/>
          </w:r>
        </w:p>
        <w:p>
          <w:pPr>
            <w:pStyle w:val="39"/>
            <w:keepNext w:val="0"/>
            <w:keepLines w:val="0"/>
            <w:pageBreakBefore w:val="0"/>
            <w:widowControl/>
            <w:tabs>
              <w:tab w:val="right" w:leader="dot" w:pos="8845"/>
            </w:tabs>
            <w:kinsoku/>
            <w:wordWrap/>
            <w:overflowPunct/>
            <w:topLinePunct w:val="0"/>
            <w:autoSpaceDE/>
            <w:autoSpaceDN/>
            <w:bidi w:val="0"/>
            <w:adjustRightInd/>
            <w:snapToGrid/>
            <w:spacing w:beforeAutospacing="0" w:afterAutospacing="0" w:line="600" w:lineRule="exact"/>
            <w:ind w:left="0" w:leftChars="0"/>
            <w:textAlignment w:val="auto"/>
            <w:rPr>
              <w:rFonts w:hint="eastAsia" w:ascii="黑体" w:hAnsi="黑体" w:eastAsia="黑体" w:cs="黑体"/>
              <w:b w:val="0"/>
              <w:bCs/>
              <w:sz w:val="28"/>
              <w:szCs w:val="28"/>
            </w:rPr>
          </w:pP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HYPERLINK \l _Toc1600997128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highlight w:val="none"/>
            </w:rPr>
            <w:t>第二部分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rPr>
            <w:t xml:space="preserve"> </w:t>
          </w:r>
          <w:r>
            <w:rPr>
              <w:rFonts w:hint="eastAsia" w:ascii="黑体" w:hAnsi="黑体" w:eastAsia="黑体" w:cs="黑体"/>
              <w:b w:val="0"/>
              <w:bCs/>
              <w:sz w:val="28"/>
              <w:szCs w:val="28"/>
              <w:highlight w:val="none"/>
              <w:lang w:val="en-US" w:eastAsia="zh-CN"/>
            </w:rPr>
            <w:t>2024年度</w:t>
          </w:r>
          <w:r>
            <w:rPr>
              <w:rFonts w:hint="eastAsia" w:ascii="黑体" w:hAnsi="黑体" w:eastAsia="黑体" w:cs="黑体"/>
              <w:b w:val="0"/>
              <w:bCs/>
              <w:sz w:val="28"/>
              <w:szCs w:val="28"/>
              <w:highlight w:val="none"/>
            </w:rPr>
            <w:t>部门决算情况说明</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_Toc1600997128 \h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rPr>
            <w:fldChar w:fldCharType="end"/>
          </w:r>
        </w:p>
        <w:p>
          <w:pPr>
            <w:pStyle w:val="40"/>
            <w:keepNext w:val="0"/>
            <w:keepLines w:val="0"/>
            <w:pageBreakBefore w:val="0"/>
            <w:widowControl/>
            <w:tabs>
              <w:tab w:val="right" w:leader="dot" w:pos="8845"/>
            </w:tabs>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HYPERLINK \l _Toc1282337143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highlight w:val="none"/>
              <w:lang w:eastAsia="zh-CN"/>
            </w:rPr>
            <w:t>一、</w:t>
          </w:r>
          <w:r>
            <w:rPr>
              <w:rFonts w:hint="eastAsia" w:ascii="黑体" w:hAnsi="黑体" w:eastAsia="黑体" w:cs="黑体"/>
              <w:b w:val="0"/>
              <w:bCs/>
              <w:sz w:val="28"/>
              <w:szCs w:val="28"/>
              <w:highlight w:val="none"/>
            </w:rPr>
            <w:t>收入支出决算总体情况说明</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_Toc1282337143 \h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rPr>
            <w:fldChar w:fldCharType="end"/>
          </w:r>
        </w:p>
        <w:p>
          <w:pPr>
            <w:pStyle w:val="40"/>
            <w:keepNext w:val="0"/>
            <w:keepLines w:val="0"/>
            <w:pageBreakBefore w:val="0"/>
            <w:widowControl/>
            <w:tabs>
              <w:tab w:val="right" w:leader="dot" w:pos="8845"/>
            </w:tabs>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HYPERLINK \l _Toc34865045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highlight w:val="none"/>
              <w:lang w:eastAsia="zh-CN"/>
            </w:rPr>
            <w:t>二、收入决算情况说明</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_Toc34865045 \h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rPr>
            <w:fldChar w:fldCharType="end"/>
          </w:r>
        </w:p>
        <w:p>
          <w:pPr>
            <w:pStyle w:val="40"/>
            <w:keepNext w:val="0"/>
            <w:keepLines w:val="0"/>
            <w:pageBreakBefore w:val="0"/>
            <w:widowControl/>
            <w:tabs>
              <w:tab w:val="right" w:leader="dot" w:pos="8845"/>
            </w:tabs>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HYPERLINK \l _Toc1113840651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highlight w:val="none"/>
              <w:lang w:eastAsia="zh-CN"/>
            </w:rPr>
            <w:t>三、</w:t>
          </w:r>
          <w:r>
            <w:rPr>
              <w:rFonts w:hint="eastAsia" w:ascii="黑体" w:hAnsi="黑体" w:eastAsia="黑体" w:cs="黑体"/>
              <w:b w:val="0"/>
              <w:bCs/>
              <w:sz w:val="28"/>
              <w:szCs w:val="28"/>
              <w:highlight w:val="none"/>
            </w:rPr>
            <w:t>支出决算情况说明</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_Toc1113840651 \h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rPr>
            <w:fldChar w:fldCharType="end"/>
          </w:r>
        </w:p>
        <w:p>
          <w:pPr>
            <w:pStyle w:val="40"/>
            <w:keepNext w:val="0"/>
            <w:keepLines w:val="0"/>
            <w:pageBreakBefore w:val="0"/>
            <w:widowControl/>
            <w:tabs>
              <w:tab w:val="right" w:leader="dot" w:pos="8845"/>
            </w:tabs>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HYPERLINK \l _Toc1953305296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highlight w:val="none"/>
            </w:rPr>
            <w:t>四、财政拨款收入支出决算总体情况说明</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_Toc1953305296 \h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3</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rPr>
            <w:fldChar w:fldCharType="end"/>
          </w:r>
        </w:p>
        <w:p>
          <w:pPr>
            <w:pStyle w:val="40"/>
            <w:keepNext w:val="0"/>
            <w:keepLines w:val="0"/>
            <w:pageBreakBefore w:val="0"/>
            <w:widowControl/>
            <w:tabs>
              <w:tab w:val="right" w:leader="dot" w:pos="8845"/>
            </w:tabs>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HYPERLINK \l _Toc2122646615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highlight w:val="none"/>
            </w:rPr>
            <w:t>五、一般公共预算财政拨款支出决算情况说明</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_Toc2122646615 \h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3</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rPr>
            <w:fldChar w:fldCharType="end"/>
          </w:r>
        </w:p>
        <w:p>
          <w:pPr>
            <w:pStyle w:val="40"/>
            <w:keepNext w:val="0"/>
            <w:keepLines w:val="0"/>
            <w:pageBreakBefore w:val="0"/>
            <w:widowControl/>
            <w:tabs>
              <w:tab w:val="right" w:leader="dot" w:pos="8845"/>
            </w:tabs>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HYPERLINK \l _Toc688494125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highlight w:val="none"/>
            </w:rPr>
            <w:t>六、一般公共预算财政拨款基本支出决算情况说明</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_Toc688494125 \h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6</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rPr>
            <w:fldChar w:fldCharType="end"/>
          </w:r>
        </w:p>
        <w:p>
          <w:pPr>
            <w:pStyle w:val="40"/>
            <w:keepNext w:val="0"/>
            <w:keepLines w:val="0"/>
            <w:pageBreakBefore w:val="0"/>
            <w:widowControl/>
            <w:tabs>
              <w:tab w:val="right" w:leader="dot" w:pos="8845"/>
            </w:tabs>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HYPERLINK \l _Toc1763154304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highlight w:val="none"/>
            </w:rPr>
            <w:t>七、财政拨款“三公”经费支出决算情况说明</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_Toc1763154304 \h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6</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rPr>
            <w:fldChar w:fldCharType="end"/>
          </w:r>
        </w:p>
        <w:p>
          <w:pPr>
            <w:pStyle w:val="40"/>
            <w:keepNext w:val="0"/>
            <w:keepLines w:val="0"/>
            <w:pageBreakBefore w:val="0"/>
            <w:widowControl/>
            <w:tabs>
              <w:tab w:val="right" w:leader="dot" w:pos="8845"/>
            </w:tabs>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HYPERLINK \l _Toc1055120468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highlight w:val="none"/>
            </w:rPr>
            <w:t>八、政府性基金预算支出决算情况说明</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_Toc1055120468 \h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8</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rPr>
            <w:fldChar w:fldCharType="end"/>
          </w:r>
        </w:p>
        <w:p>
          <w:pPr>
            <w:pStyle w:val="40"/>
            <w:keepNext w:val="0"/>
            <w:keepLines w:val="0"/>
            <w:pageBreakBefore w:val="0"/>
            <w:widowControl/>
            <w:tabs>
              <w:tab w:val="right" w:leader="dot" w:pos="8845"/>
            </w:tabs>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HYPERLINK \l _Toc1731996801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highlight w:val="none"/>
              <w:lang w:eastAsia="zh-CN"/>
            </w:rPr>
            <w:t>九、</w:t>
          </w:r>
          <w:r>
            <w:rPr>
              <w:rFonts w:hint="eastAsia" w:ascii="黑体" w:hAnsi="黑体" w:eastAsia="黑体" w:cs="黑体"/>
              <w:b w:val="0"/>
              <w:bCs/>
              <w:sz w:val="28"/>
              <w:szCs w:val="28"/>
              <w:highlight w:val="none"/>
            </w:rPr>
            <w:t>国有资本经营预算支出决算情况说明</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_Toc1731996801 \h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8</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rPr>
            <w:fldChar w:fldCharType="end"/>
          </w:r>
        </w:p>
        <w:p>
          <w:pPr>
            <w:pStyle w:val="40"/>
            <w:keepNext w:val="0"/>
            <w:keepLines w:val="0"/>
            <w:pageBreakBefore w:val="0"/>
            <w:widowControl/>
            <w:tabs>
              <w:tab w:val="right" w:leader="dot" w:pos="8845"/>
            </w:tabs>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HYPERLINK \l _Toc1871526477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highlight w:val="none"/>
              <w:lang w:eastAsia="zh-CN"/>
            </w:rPr>
            <w:t>十、</w:t>
          </w:r>
          <w:r>
            <w:rPr>
              <w:rFonts w:hint="eastAsia" w:ascii="黑体" w:hAnsi="黑体" w:eastAsia="黑体" w:cs="黑体"/>
              <w:b w:val="0"/>
              <w:bCs/>
              <w:sz w:val="28"/>
              <w:szCs w:val="28"/>
              <w:highlight w:val="none"/>
            </w:rPr>
            <w:t>其他重要事项的情况说明</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_Toc1871526477 \h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8</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rPr>
            <w:fldChar w:fldCharType="end"/>
          </w:r>
        </w:p>
        <w:p>
          <w:pPr>
            <w:pStyle w:val="39"/>
            <w:keepNext w:val="0"/>
            <w:keepLines w:val="0"/>
            <w:pageBreakBefore w:val="0"/>
            <w:widowControl/>
            <w:tabs>
              <w:tab w:val="right" w:leader="dot" w:pos="8845"/>
            </w:tabs>
            <w:kinsoku/>
            <w:wordWrap/>
            <w:overflowPunct/>
            <w:topLinePunct w:val="0"/>
            <w:autoSpaceDE/>
            <w:autoSpaceDN/>
            <w:bidi w:val="0"/>
            <w:adjustRightInd/>
            <w:snapToGrid/>
            <w:spacing w:beforeAutospacing="0" w:afterAutospacing="0" w:line="600" w:lineRule="exact"/>
            <w:ind w:left="0" w:leftChars="0"/>
            <w:textAlignment w:val="auto"/>
            <w:rPr>
              <w:rFonts w:hint="eastAsia" w:ascii="黑体" w:hAnsi="黑体" w:eastAsia="黑体" w:cs="黑体"/>
              <w:b w:val="0"/>
              <w:bCs/>
              <w:sz w:val="28"/>
              <w:szCs w:val="28"/>
            </w:rPr>
          </w:pP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HYPERLINK \l _Toc1283240256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highlight w:val="none"/>
            </w:rPr>
            <w:t>第</w:t>
          </w:r>
          <w:r>
            <w:rPr>
              <w:rFonts w:hint="eastAsia" w:ascii="黑体" w:hAnsi="黑体" w:eastAsia="黑体" w:cs="黑体"/>
              <w:b w:val="0"/>
              <w:bCs/>
              <w:sz w:val="28"/>
              <w:szCs w:val="28"/>
              <w:highlight w:val="none"/>
              <w:lang w:eastAsia="zh-CN"/>
            </w:rPr>
            <w:t>三</w:t>
          </w:r>
          <w:r>
            <w:rPr>
              <w:rFonts w:hint="eastAsia" w:ascii="黑体" w:hAnsi="黑体" w:eastAsia="黑体" w:cs="黑体"/>
              <w:b w:val="0"/>
              <w:bCs/>
              <w:sz w:val="28"/>
              <w:szCs w:val="28"/>
              <w:highlight w:val="none"/>
            </w:rPr>
            <w:t>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rPr>
            <w:t>名词解释</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_Toc1283240256 \h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10</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rPr>
            <w:fldChar w:fldCharType="end"/>
          </w:r>
        </w:p>
        <w:p>
          <w:pPr>
            <w:pStyle w:val="39"/>
            <w:keepNext w:val="0"/>
            <w:keepLines w:val="0"/>
            <w:pageBreakBefore w:val="0"/>
            <w:widowControl/>
            <w:tabs>
              <w:tab w:val="right" w:leader="dot" w:pos="8845"/>
            </w:tabs>
            <w:kinsoku/>
            <w:wordWrap/>
            <w:overflowPunct/>
            <w:topLinePunct w:val="0"/>
            <w:autoSpaceDE/>
            <w:autoSpaceDN/>
            <w:bidi w:val="0"/>
            <w:adjustRightInd/>
            <w:snapToGrid/>
            <w:spacing w:beforeAutospacing="0" w:afterAutospacing="0" w:line="600" w:lineRule="exact"/>
            <w:ind w:left="0" w:leftChars="0"/>
            <w:textAlignment w:val="auto"/>
            <w:rPr>
              <w:rFonts w:hint="eastAsia" w:ascii="黑体" w:hAnsi="黑体" w:eastAsia="黑体" w:cs="黑体"/>
              <w:b w:val="0"/>
              <w:bCs/>
              <w:sz w:val="28"/>
              <w:szCs w:val="28"/>
            </w:rPr>
          </w:pP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HYPERLINK \l _Toc1111817882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highlight w:val="none"/>
            </w:rPr>
            <w:t>第四部分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rPr>
            <w:t xml:space="preserve"> 附件</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_Toc1111817882 \h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rPr>
            <w:fldChar w:fldCharType="end"/>
          </w:r>
        </w:p>
        <w:p>
          <w:pPr>
            <w:pStyle w:val="39"/>
            <w:keepNext w:val="0"/>
            <w:keepLines w:val="0"/>
            <w:pageBreakBefore w:val="0"/>
            <w:widowControl/>
            <w:tabs>
              <w:tab w:val="right" w:leader="dot" w:pos="8845"/>
            </w:tabs>
            <w:kinsoku/>
            <w:wordWrap/>
            <w:overflowPunct/>
            <w:topLinePunct w:val="0"/>
            <w:autoSpaceDE/>
            <w:autoSpaceDN/>
            <w:bidi w:val="0"/>
            <w:adjustRightInd/>
            <w:snapToGrid/>
            <w:spacing w:beforeAutospacing="0" w:afterAutospacing="0" w:line="600" w:lineRule="exact"/>
            <w:ind w:left="0" w:leftChars="0"/>
            <w:textAlignment w:val="auto"/>
            <w:rPr>
              <w:rFonts w:hint="eastAsia" w:ascii="黑体" w:hAnsi="黑体" w:eastAsia="黑体" w:cs="黑体"/>
              <w:b/>
              <w:sz w:val="28"/>
              <w:szCs w:val="28"/>
            </w:rPr>
          </w:pP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HYPERLINK \l _Toc77438990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highlight w:val="none"/>
            </w:rPr>
            <w:t>第五部分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rPr>
            <w:t xml:space="preserve"> 附表</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_Toc77438990 \h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24</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rPr>
            <w:fldChar w:fldCharType="end"/>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textAlignment w:val="auto"/>
            <w:rPr>
              <w:b/>
            </w:rPr>
          </w:pPr>
          <w:r>
            <w:rPr>
              <w:rFonts w:hint="eastAsia" w:ascii="黑体" w:hAnsi="黑体" w:eastAsia="黑体" w:cs="黑体"/>
              <w:b/>
              <w:sz w:val="28"/>
              <w:szCs w:val="28"/>
            </w:rPr>
            <w:fldChar w:fldCharType="end"/>
          </w:r>
        </w:p>
        <w:p>
          <w:pPr>
            <w:rPr>
              <w:rFonts w:hint="eastAsia" w:ascii="Times New Roman" w:hAnsi="Times New Roman" w:eastAsia="方正小标宋简体" w:cs="方正小标宋简体"/>
              <w:b w:val="0"/>
              <w:color w:val="auto"/>
              <w:highlight w:val="none"/>
            </w:rPr>
            <w:sectPr>
              <w:footerReference r:id="rId6" w:type="first"/>
              <w:footerReference r:id="rId5" w:type="default"/>
              <w:pgSz w:w="11906" w:h="16838"/>
              <w:pgMar w:top="1440" w:right="1474" w:bottom="1440" w:left="1587" w:header="851" w:footer="992" w:gutter="0"/>
              <w:pgNumType w:fmt="decimal" w:start="1"/>
              <w:cols w:space="425" w:num="1"/>
              <w:docGrid w:type="lines" w:linePitch="312" w:charSpace="0"/>
            </w:sectPr>
          </w:pPr>
          <w:r>
            <w:rPr>
              <w:b/>
            </w:rPr>
            <w:br w:type="page"/>
          </w:r>
          <w:bookmarkStart w:id="13" w:name="_Toc980095775"/>
        </w:p>
      </w:sdtContent>
    </w:sdt>
    <w:p>
      <w:pPr>
        <w:pStyle w:val="3"/>
        <w:pageBreakBefore w:val="0"/>
        <w:kinsoku/>
        <w:wordWrap/>
        <w:overflowPunct/>
        <w:topLinePunct w:val="0"/>
        <w:autoSpaceDE/>
        <w:autoSpaceDN/>
        <w:bidi w:val="0"/>
        <w:adjustRightInd/>
        <w:snapToGrid/>
        <w:spacing w:before="0" w:after="0" w:line="576" w:lineRule="exact"/>
        <w:jc w:val="center"/>
        <w:textAlignment w:val="auto"/>
        <w:rPr>
          <w:rStyle w:val="21"/>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1"/>
          <w:rFonts w:hint="eastAsia" w:ascii="Times New Roman" w:hAnsi="Times New Roman" w:eastAsia="方正小标宋简体" w:cs="方正小标宋简体"/>
          <w:b w:val="0"/>
          <w:bCs w:val="0"/>
          <w:color w:val="auto"/>
          <w:highlight w:val="none"/>
        </w:rPr>
        <w:t>部门概况</w:t>
      </w:r>
      <w:bookmarkEnd w:id="13"/>
    </w:p>
    <w:p>
      <w:pPr>
        <w:pageBreakBefore w:val="0"/>
        <w:widowControl/>
        <w:kinsoku/>
        <w:wordWrap/>
        <w:overflowPunct/>
        <w:topLinePunct w:val="0"/>
        <w:autoSpaceDE/>
        <w:autoSpaceDN/>
        <w:bidi w:val="0"/>
        <w:adjustRightInd/>
        <w:snapToGrid/>
        <w:spacing w:line="576" w:lineRule="exact"/>
        <w:jc w:val="left"/>
        <w:textAlignment w:val="auto"/>
        <w:rPr>
          <w:rFonts w:ascii="Times New Roman" w:hAnsi="Times New Roman" w:eastAsia="黑体"/>
          <w:color w:val="auto"/>
          <w:sz w:val="32"/>
          <w:szCs w:val="32"/>
          <w:highlight w:val="none"/>
        </w:rPr>
      </w:pPr>
    </w:p>
    <w:p>
      <w:pPr>
        <w:pStyle w:val="4"/>
        <w:pageBreakBefore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Times New Roman" w:hAnsi="Times New Roman" w:eastAsia="黑体"/>
          <w:b w:val="0"/>
          <w:color w:val="auto"/>
          <w:highlight w:val="none"/>
          <w:lang w:eastAsia="zh-CN"/>
        </w:rPr>
      </w:pPr>
      <w:bookmarkStart w:id="14" w:name="_Toc1019610300"/>
      <w:bookmarkStart w:id="15" w:name="_Toc1008805963"/>
      <w:r>
        <w:rPr>
          <w:rFonts w:hint="eastAsia" w:ascii="Times New Roman" w:hAnsi="Times New Roman" w:eastAsia="黑体"/>
          <w:b w:val="0"/>
          <w:color w:val="auto"/>
          <w:highlight w:val="none"/>
          <w:lang w:eastAsia="zh-CN"/>
        </w:rPr>
        <w:t>一、部门职责</w:t>
      </w:r>
      <w:bookmarkEnd w:id="14"/>
      <w:bookmarkEnd w:id="15"/>
    </w:p>
    <w:p>
      <w:pPr>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sz w:val="32"/>
          <w:szCs w:val="32"/>
          <w:lang w:eastAsia="zh-CN"/>
        </w:rPr>
      </w:pPr>
      <w:r>
        <w:rPr>
          <w:rFonts w:hint="eastAsia" w:ascii="仿宋_GB2312" w:hAnsi="仿宋_GB2312" w:eastAsia="仿宋_GB2312" w:cs="仿宋_GB2312"/>
          <w:sz w:val="32"/>
          <w:szCs w:val="32"/>
        </w:rPr>
        <w:t>贯彻落实党的路线方针政策和有关档案管理的法律、法规、规章制度，做好档案“收、管、用”，维护档案完整与安全，保守党和国家秘密。依法接收市级各机关、团体、事业单位、国有企业及其下属单位的档案；</w:t>
      </w:r>
      <w:r>
        <w:rPr>
          <w:rFonts w:hint="eastAsia" w:ascii="仿宋_GB2312" w:hAnsi="仿宋_GB2312" w:eastAsia="仿宋_GB2312" w:cs="仿宋_GB2312"/>
          <w:sz w:val="32"/>
          <w:szCs w:val="32"/>
          <w:lang w:eastAsia="zh-CN"/>
        </w:rPr>
        <w:t>接收</w:t>
      </w:r>
      <w:r>
        <w:rPr>
          <w:rFonts w:hint="eastAsia" w:ascii="仿宋_GB2312" w:hAnsi="仿宋_GB2312" w:eastAsia="仿宋_GB2312" w:cs="仿宋_GB2312"/>
          <w:sz w:val="32"/>
          <w:szCs w:val="32"/>
        </w:rPr>
        <w:t>市级重大活动等形成的档案；征集对国家和社会具有长久保存价值的重要档案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资料，开展主动建档存史工作。组织实施馆藏档案整理、鉴定、保管、保护、解密、划控、开放和销毁工作。负责馆藏档案信息化，</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数字档案馆</w:t>
      </w:r>
      <w:r>
        <w:rPr>
          <w:rFonts w:hint="eastAsia" w:ascii="仿宋_GB2312" w:hAnsi="仿宋_GB2312" w:eastAsia="仿宋_GB2312" w:cs="仿宋_GB2312"/>
          <w:sz w:val="32"/>
          <w:szCs w:val="32"/>
          <w:lang w:eastAsia="zh-CN"/>
        </w:rPr>
        <w:t>试点相关工作</w:t>
      </w:r>
      <w:r>
        <w:rPr>
          <w:rFonts w:hint="eastAsia" w:ascii="仿宋_GB2312" w:hAnsi="仿宋_GB2312" w:eastAsia="仿宋_GB2312" w:cs="仿宋_GB2312"/>
          <w:sz w:val="32"/>
          <w:szCs w:val="32"/>
        </w:rPr>
        <w:t>和市级档案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资料目录中心建设，依法接收电子档案，建立电子文件备份中心，</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rPr>
        <w:t>数字档案资源安全。开展档案利用工作，依法向社会提供档案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和已公开的现行文件，开展民生档案等跨馆查档服务。负责馆藏档案资源开发工作，开展档案资政服务，编研档案史料，开发档案文化产品，举办档案展览，建设管理爱国主义教育基地，开展档案社会宣传教育。</w:t>
      </w:r>
      <w:r>
        <w:rPr>
          <w:rFonts w:hint="eastAsia" w:ascii="仿宋_GB2312" w:hAnsi="仿宋_GB2312" w:eastAsia="仿宋_GB2312" w:cs="仿宋_GB2312"/>
          <w:sz w:val="32"/>
          <w:szCs w:val="32"/>
          <w:lang w:eastAsia="zh-CN"/>
        </w:rPr>
        <w:t>对县（区）档案馆进行业务指导。</w:t>
      </w:r>
      <w:r>
        <w:rPr>
          <w:rFonts w:hint="eastAsia" w:ascii="仿宋_GB2312" w:hAnsi="仿宋_GB2312" w:eastAsia="仿宋_GB2312" w:cs="仿宋_GB2312"/>
          <w:sz w:val="32"/>
          <w:szCs w:val="32"/>
        </w:rPr>
        <w:t>组织开展档案学术研究、馆际合作和业务交流。完成市委、市政府交办的其他任务。</w:t>
      </w:r>
    </w:p>
    <w:p>
      <w:pPr>
        <w:pageBreakBefore w:val="0"/>
        <w:numPr>
          <w:ilvl w:val="0"/>
          <w:numId w:val="0"/>
        </w:numPr>
        <w:kinsoku/>
        <w:wordWrap/>
        <w:overflowPunct/>
        <w:topLinePunct w:val="0"/>
        <w:autoSpaceDE/>
        <w:autoSpaceDN/>
        <w:bidi w:val="0"/>
        <w:adjustRightInd/>
        <w:snapToGrid/>
        <w:spacing w:line="576" w:lineRule="exact"/>
        <w:textAlignment w:val="auto"/>
        <w:rPr>
          <w:rFonts w:hint="eastAsia"/>
          <w:lang w:eastAsia="zh-CN"/>
        </w:rPr>
      </w:pPr>
    </w:p>
    <w:p>
      <w:pPr>
        <w:pStyle w:val="4"/>
        <w:pageBreakBefore w:val="0"/>
        <w:kinsoku/>
        <w:wordWrap/>
        <w:overflowPunct/>
        <w:topLinePunct w:val="0"/>
        <w:autoSpaceDE/>
        <w:autoSpaceDN/>
        <w:bidi w:val="0"/>
        <w:adjustRightInd/>
        <w:snapToGrid/>
        <w:spacing w:before="0" w:after="0" w:line="576" w:lineRule="exact"/>
        <w:ind w:firstLine="640" w:firstLineChars="200"/>
        <w:textAlignment w:val="auto"/>
        <w:rPr>
          <w:rStyle w:val="22"/>
          <w:rFonts w:ascii="Times New Roman" w:hAnsi="Times New Roman"/>
          <w:b w:val="0"/>
          <w:bCs w:val="0"/>
          <w:color w:val="auto"/>
          <w:highlight w:val="none"/>
        </w:rPr>
      </w:pPr>
      <w:bookmarkStart w:id="16" w:name="_Toc15377200"/>
      <w:bookmarkStart w:id="17" w:name="_Toc15396601"/>
      <w:bookmarkStart w:id="18" w:name="_Toc1411483826"/>
      <w:bookmarkStart w:id="19" w:name="_Toc8345030"/>
      <w:r>
        <w:rPr>
          <w:rFonts w:hint="eastAsia" w:ascii="Times New Roman" w:hAnsi="Times New Roman" w:eastAsia="黑体"/>
          <w:b w:val="0"/>
          <w:color w:val="auto"/>
          <w:highlight w:val="none"/>
        </w:rPr>
        <w:t>二、机</w:t>
      </w:r>
      <w:r>
        <w:rPr>
          <w:rStyle w:val="22"/>
          <w:rFonts w:hint="eastAsia" w:ascii="Times New Roman" w:hAnsi="Times New Roman" w:eastAsia="黑体"/>
          <w:b w:val="0"/>
          <w:bCs w:val="0"/>
          <w:color w:val="auto"/>
          <w:highlight w:val="none"/>
        </w:rPr>
        <w:t>构设置</w:t>
      </w:r>
      <w:bookmarkEnd w:id="16"/>
      <w:bookmarkEnd w:id="17"/>
      <w:bookmarkEnd w:id="18"/>
      <w:bookmarkEnd w:id="19"/>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left"/>
        <w:textAlignment w:val="auto"/>
        <w:rPr>
          <w:rFonts w:hint="default" w:eastAsia="仿宋_GB2312"/>
          <w:sz w:val="32"/>
          <w:szCs w:val="32"/>
          <w:lang w:val="en-US" w:eastAsia="zh-CN"/>
        </w:rPr>
      </w:pPr>
      <w:r>
        <w:rPr>
          <w:rFonts w:hint="eastAsia" w:ascii="仿宋_GB2312" w:hAnsi="仿宋_GB2312" w:eastAsia="仿宋_GB2312" w:cs="仿宋_GB2312"/>
          <w:color w:val="000000"/>
          <w:kern w:val="0"/>
          <w:sz w:val="32"/>
          <w:szCs w:val="32"/>
          <w:shd w:val="clear" w:color="auto" w:fill="FFFFFF"/>
          <w:lang w:val="zh-CN"/>
        </w:rPr>
        <w:t>广元市档案馆为一级预算单位，为市委直属参公事业单位，</w:t>
      </w:r>
      <w:r>
        <w:rPr>
          <w:rFonts w:hint="eastAsia" w:ascii="仿宋_GB2312" w:hAnsi="仿宋_GB2312" w:eastAsia="仿宋_GB2312" w:cs="仿宋_GB2312"/>
          <w:color w:val="000000"/>
          <w:kern w:val="0"/>
          <w:sz w:val="32"/>
          <w:szCs w:val="32"/>
        </w:rPr>
        <w:t>内设一室六科</w:t>
      </w:r>
      <w:r>
        <w:rPr>
          <w:rFonts w:hint="eastAsia" w:ascii="仿宋_GB2312" w:hAnsi="仿宋_GB2312" w:eastAsia="仿宋_GB2312" w:cs="仿宋_GB2312"/>
          <w:color w:val="000000"/>
          <w:kern w:val="0"/>
          <w:sz w:val="32"/>
          <w:szCs w:val="32"/>
          <w:lang w:eastAsia="zh-CN"/>
        </w:rPr>
        <w:t>，即办公室、接收征集科、保管保护科、编研开发科、宣传文化科、服务利用科、信息技术科。</w:t>
      </w:r>
      <w:r>
        <w:rPr>
          <w:rFonts w:hint="eastAsia" w:ascii="仿宋_GB2312" w:hAnsi="仿宋_GB2312" w:eastAsia="仿宋_GB2312" w:cs="仿宋_GB2312"/>
          <w:color w:val="000000"/>
          <w:kern w:val="0"/>
          <w:sz w:val="32"/>
          <w:szCs w:val="32"/>
          <w:shd w:val="clear" w:color="auto" w:fill="FFFFFF"/>
          <w:lang w:val="zh-CN"/>
        </w:rPr>
        <w:t>代管</w:t>
      </w:r>
      <w:r>
        <w:rPr>
          <w:rFonts w:hint="eastAsia" w:ascii="仿宋_GB2312" w:hAnsi="仿宋_GB2312" w:eastAsia="仿宋_GB2312" w:cs="仿宋_GB2312"/>
          <w:color w:val="000000"/>
          <w:kern w:val="0"/>
          <w:sz w:val="32"/>
          <w:szCs w:val="32"/>
          <w:shd w:val="clear" w:color="auto" w:fill="FFFFFF"/>
          <w:lang w:val="en-US" w:eastAsia="zh-CN"/>
        </w:rPr>
        <w:t>市现行文件服务中心，未独立核算。</w:t>
      </w:r>
    </w:p>
    <w:p>
      <w:pPr>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pageBreakBefore w:val="0"/>
        <w:widowControl w:val="0"/>
        <w:kinsoku/>
        <w:wordWrap/>
        <w:overflowPunct/>
        <w:topLinePunct w:val="0"/>
        <w:autoSpaceDE/>
        <w:autoSpaceDN/>
        <w:bidi w:val="0"/>
        <w:adjustRightInd/>
        <w:snapToGrid/>
        <w:spacing w:before="0" w:after="0" w:line="576" w:lineRule="exact"/>
        <w:jc w:val="center"/>
        <w:textAlignment w:val="auto"/>
        <w:rPr>
          <w:rFonts w:hint="eastAsia" w:ascii="方正小标宋简体" w:hAnsi="方正小标宋简体" w:eastAsia="方正小标宋简体" w:cs="方正小标宋简体"/>
          <w:b w:val="0"/>
          <w:color w:val="auto"/>
          <w:highlight w:val="none"/>
        </w:rPr>
      </w:pPr>
      <w:bookmarkStart w:id="20" w:name="_Toc1957332655"/>
      <w:bookmarkStart w:id="21" w:name="_Toc15396602"/>
      <w:bookmarkStart w:id="22" w:name="_Toc1600997128"/>
      <w:bookmarkStart w:id="23" w:name="_Toc15377204"/>
      <w:r>
        <w:rPr>
          <w:rFonts w:hint="eastAsia" w:ascii="方正小标宋简体" w:hAnsi="方正小标宋简体" w:eastAsia="方正小标宋简体" w:cs="方正小标宋简体"/>
          <w:b w:val="0"/>
          <w:color w:val="auto"/>
          <w:highlight w:val="none"/>
        </w:rPr>
        <w:t>第二部分</w:t>
      </w:r>
      <w:r>
        <w:rPr>
          <w:rFonts w:hint="eastAsia" w:ascii="方正小标宋简体" w:hAnsi="方正小标宋简体" w:eastAsia="方正小标宋简体" w:cs="方正小标宋简体"/>
          <w:b w:val="0"/>
          <w:color w:val="auto"/>
          <w:highlight w:val="none"/>
          <w:lang w:val="en-US" w:eastAsia="zh-CN"/>
        </w:rPr>
        <w:t xml:space="preserve"> </w:t>
      </w:r>
      <w:r>
        <w:rPr>
          <w:rFonts w:hint="eastAsia" w:ascii="方正小标宋简体" w:hAnsi="方正小标宋简体" w:eastAsia="方正小标宋简体" w:cs="方正小标宋简体"/>
          <w:b w:val="0"/>
          <w:color w:val="auto"/>
          <w:highlight w:val="none"/>
        </w:rPr>
        <w:t xml:space="preserve"> </w:t>
      </w:r>
      <w:r>
        <w:rPr>
          <w:rFonts w:hint="eastAsia" w:ascii="方正小标宋简体" w:hAnsi="方正小标宋简体" w:eastAsia="方正小标宋简体" w:cs="方正小标宋简体"/>
          <w:b w:val="0"/>
          <w:color w:val="auto"/>
          <w:highlight w:val="none"/>
          <w:lang w:val="en-US" w:eastAsia="zh-CN"/>
        </w:rPr>
        <w:t>2024年度</w:t>
      </w:r>
      <w:r>
        <w:rPr>
          <w:rFonts w:hint="eastAsia" w:ascii="方正小标宋简体" w:hAnsi="方正小标宋简体" w:eastAsia="方正小标宋简体" w:cs="方正小标宋简体"/>
          <w:b w:val="0"/>
          <w:color w:val="auto"/>
          <w:highlight w:val="none"/>
        </w:rPr>
        <w:t>部门决算情况说明</w:t>
      </w:r>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576" w:lineRule="exact"/>
        <w:ind w:left="0"/>
        <w:textAlignment w:val="auto"/>
        <w:rPr>
          <w:rFonts w:ascii="Times New Roman" w:hAnsi="Times New Roman"/>
          <w:color w:val="auto"/>
          <w:highlight w:val="none"/>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textAlignment w:val="auto"/>
        <w:outlineLvl w:val="1"/>
        <w:rPr>
          <w:rStyle w:val="22"/>
          <w:rFonts w:hint="eastAsia" w:ascii="Times New Roman" w:hAnsi="Times New Roman" w:eastAsia="黑体"/>
          <w:b w:val="0"/>
          <w:color w:val="auto"/>
          <w:highlight w:val="none"/>
        </w:rPr>
      </w:pPr>
      <w:bookmarkStart w:id="24" w:name="_Toc1282337143"/>
      <w:bookmarkStart w:id="25" w:name="_Toc15396603"/>
      <w:bookmarkStart w:id="26" w:name="_Toc15377205"/>
      <w:bookmarkStart w:id="27" w:name="_Toc1079957501"/>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2"/>
          <w:rFonts w:hint="eastAsia" w:ascii="Times New Roman" w:hAnsi="Times New Roman" w:eastAsia="黑体"/>
          <w:b w:val="0"/>
          <w:color w:val="auto"/>
          <w:highlight w:val="none"/>
        </w:rPr>
        <w:t>入支出决算总体情况说明</w:t>
      </w:r>
      <w:bookmarkEnd w:id="24"/>
      <w:bookmarkEnd w:id="25"/>
      <w:bookmarkEnd w:id="26"/>
      <w:bookmarkEnd w:id="27"/>
    </w:p>
    <w:p>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textAlignment w:val="auto"/>
        <w:outlineLvl w:val="1"/>
        <w:rPr>
          <w:rFonts w:hint="eastAsia" w:ascii="仿宋_GB2312" w:hAnsi="仿宋_GB2312" w:eastAsia="仿宋_GB2312" w:cs="仿宋_GB2312"/>
          <w:color w:val="auto"/>
          <w:sz w:val="32"/>
          <w:szCs w:val="32"/>
          <w:highlight w:val="none"/>
          <w:lang w:eastAsia="zh-CN"/>
        </w:rPr>
      </w:pPr>
      <w:bookmarkStart w:id="28" w:name="_Toc840221118"/>
      <w:bookmarkStart w:id="29" w:name="_Toc1043502676"/>
      <w:r>
        <w:rPr>
          <w:rFonts w:hint="eastAsia" w:ascii="仿宋_GB2312" w:hAnsi="仿宋_GB2312" w:eastAsia="仿宋_GB2312" w:cs="仿宋_GB2312"/>
          <w:color w:val="auto"/>
          <w:sz w:val="32"/>
          <w:szCs w:val="32"/>
          <w:highlight w:val="none"/>
          <w:lang w:eastAsia="zh-CN"/>
        </w:rPr>
        <w:t>2024年度收入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856.47</w:t>
      </w:r>
      <w:r>
        <w:rPr>
          <w:rFonts w:hint="eastAsia" w:ascii="仿宋_GB2312" w:hAnsi="仿宋_GB2312" w:eastAsia="仿宋_GB2312" w:cs="仿宋_GB2312"/>
          <w:color w:val="auto"/>
          <w:sz w:val="32"/>
          <w:szCs w:val="32"/>
          <w:highlight w:val="none"/>
        </w:rPr>
        <w:t>万元。与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w:t>
      </w:r>
      <w:r>
        <w:rPr>
          <w:rFonts w:hint="eastAsia" w:ascii="仿宋_GB2312" w:hAnsi="仿宋_GB2312" w:eastAsia="仿宋_GB2312" w:cs="仿宋_GB2312"/>
          <w:color w:val="auto"/>
          <w:sz w:val="32"/>
          <w:szCs w:val="32"/>
          <w:highlight w:val="none"/>
          <w:lang w:eastAsia="zh-CN"/>
        </w:rPr>
        <w:t>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总计各减少</w:t>
      </w:r>
      <w:r>
        <w:rPr>
          <w:rFonts w:hint="eastAsia" w:ascii="仿宋_GB2312" w:hAnsi="仿宋_GB2312" w:eastAsia="仿宋_GB2312" w:cs="仿宋_GB2312"/>
          <w:color w:val="auto"/>
          <w:sz w:val="32"/>
          <w:szCs w:val="32"/>
          <w:highlight w:val="none"/>
          <w:lang w:val="en-US" w:eastAsia="zh-CN"/>
        </w:rPr>
        <w:t>357.18</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29.4</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数字档案馆建设项目预算较上年减少。</w:t>
      </w:r>
      <w:bookmarkEnd w:id="28"/>
      <w:bookmarkEnd w:id="29"/>
    </w:p>
    <w:p>
      <w:pPr>
        <w:pStyle w:val="6"/>
        <w:jc w:val="center"/>
        <w:rPr>
          <w:rFonts w:hint="eastAsia"/>
          <w:lang w:eastAsia="zh-CN"/>
        </w:rPr>
      </w:pPr>
      <w:r>
        <w:rPr>
          <w:rFonts w:hint="eastAsia" w:eastAsia="仿宋"/>
          <w:lang w:eastAsia="zh-CN"/>
        </w:rPr>
        <w:drawing>
          <wp:inline distT="0" distB="0" distL="114300" distR="114300">
            <wp:extent cx="4157980" cy="2593340"/>
            <wp:effectExtent l="4445" t="4445" r="9525" b="1206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30" w:name="_Toc15396604"/>
      <w:bookmarkStart w:id="31" w:name="_Toc15377206"/>
      <w:bookmarkStart w:id="32" w:name="_Toc34865045"/>
      <w:bookmarkStart w:id="33" w:name="_Toc108372173"/>
      <w:r>
        <w:rPr>
          <w:rFonts w:hint="eastAsia" w:ascii="Times New Roman" w:hAnsi="Times New Roman" w:eastAsia="黑体"/>
          <w:color w:val="auto"/>
          <w:sz w:val="32"/>
          <w:szCs w:val="32"/>
          <w:highlight w:val="none"/>
          <w:lang w:eastAsia="zh-CN"/>
        </w:rPr>
        <w:t>二、收入决算情况说明</w:t>
      </w:r>
      <w:bookmarkEnd w:id="30"/>
      <w:bookmarkEnd w:id="31"/>
      <w:bookmarkEnd w:id="32"/>
      <w:bookmarkEnd w:id="33"/>
    </w:p>
    <w:p>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bookmarkStart w:id="34" w:name="_Toc2106157083"/>
      <w:bookmarkStart w:id="35" w:name="_Toc228119788"/>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856.47万元，其中：一般公共预算财政拨款收入856.47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bookmarkEnd w:id="34"/>
      <w:bookmarkEnd w:id="35"/>
    </w:p>
    <w:p>
      <w:pPr>
        <w:pStyle w:val="6"/>
        <w:jc w:val="center"/>
        <w:rPr>
          <w:rFonts w:hint="eastAsia"/>
          <w:lang w:eastAsia="zh-CN"/>
        </w:rPr>
      </w:pPr>
      <w:r>
        <w:rPr>
          <w:rFonts w:hint="eastAsia" w:eastAsia="仿宋"/>
          <w:lang w:eastAsia="zh-CN"/>
        </w:rPr>
        <w:drawing>
          <wp:inline distT="0" distB="0" distL="114300" distR="114300">
            <wp:extent cx="4160520" cy="1964055"/>
            <wp:effectExtent l="5080" t="4445" r="6350" b="1270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textAlignment w:val="auto"/>
        <w:outlineLvl w:val="1"/>
        <w:rPr>
          <w:rStyle w:val="22"/>
          <w:rFonts w:hint="eastAsia" w:ascii="Times New Roman" w:hAnsi="Times New Roman" w:eastAsia="黑体"/>
          <w:b w:val="0"/>
          <w:color w:val="auto"/>
          <w:highlight w:val="none"/>
        </w:rPr>
      </w:pPr>
      <w:bookmarkStart w:id="36" w:name="_Toc1113840651"/>
      <w:bookmarkStart w:id="37" w:name="_Toc15396605"/>
      <w:bookmarkStart w:id="38" w:name="_Toc1527304729"/>
      <w:bookmarkStart w:id="39"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2"/>
          <w:rFonts w:hint="eastAsia" w:ascii="Times New Roman" w:hAnsi="Times New Roman" w:eastAsia="黑体"/>
          <w:b w:val="0"/>
          <w:color w:val="auto"/>
          <w:highlight w:val="none"/>
        </w:rPr>
        <w:t>出决算情况说明</w:t>
      </w:r>
      <w:bookmarkEnd w:id="36"/>
      <w:bookmarkEnd w:id="37"/>
      <w:bookmarkEnd w:id="38"/>
      <w:bookmarkEnd w:id="39"/>
    </w:p>
    <w:p>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bookmarkStart w:id="40" w:name="_Toc1738277172"/>
      <w:bookmarkStart w:id="41" w:name="_Toc680149095"/>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856.47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695.67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81.2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160.8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color w:val="auto"/>
          <w:sz w:val="32"/>
          <w:szCs w:val="32"/>
          <w:highlight w:val="none"/>
          <w:lang w:eastAsia="zh-CN"/>
        </w:rPr>
        <w:t>%。</w:t>
      </w:r>
      <w:bookmarkEnd w:id="40"/>
      <w:bookmarkEnd w:id="41"/>
    </w:p>
    <w:p>
      <w:pPr>
        <w:pStyle w:val="6"/>
        <w:jc w:val="center"/>
        <w:rPr>
          <w:rFonts w:hint="eastAsia"/>
          <w:lang w:eastAsia="zh-CN"/>
        </w:rPr>
      </w:pPr>
      <w:r>
        <w:rPr>
          <w:rFonts w:hint="eastAsia" w:eastAsia="仿宋"/>
          <w:lang w:eastAsia="zh-CN"/>
        </w:rPr>
        <w:drawing>
          <wp:inline distT="0" distB="0" distL="114300" distR="114300">
            <wp:extent cx="4208780" cy="2487295"/>
            <wp:effectExtent l="4445" t="4445" r="15875" b="2286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1"/>
        <w:rPr>
          <w:rStyle w:val="22"/>
          <w:rFonts w:ascii="Times New Roman" w:hAnsi="Times New Roman" w:eastAsia="黑体"/>
          <w:b w:val="0"/>
          <w:color w:val="auto"/>
          <w:highlight w:val="none"/>
        </w:rPr>
      </w:pPr>
      <w:bookmarkStart w:id="42" w:name="_Toc1953305296"/>
      <w:bookmarkStart w:id="43" w:name="_Toc941682382"/>
      <w:bookmarkStart w:id="44" w:name="_Toc15377208"/>
      <w:bookmarkStart w:id="45" w:name="_Toc15396606"/>
      <w:r>
        <w:rPr>
          <w:rFonts w:hint="eastAsia" w:ascii="Times New Roman" w:hAnsi="Times New Roman" w:eastAsia="黑体"/>
          <w:color w:val="auto"/>
          <w:sz w:val="32"/>
          <w:szCs w:val="32"/>
          <w:highlight w:val="none"/>
        </w:rPr>
        <w:t>四、财</w:t>
      </w:r>
      <w:r>
        <w:rPr>
          <w:rStyle w:val="22"/>
          <w:rFonts w:hint="eastAsia" w:ascii="Times New Roman" w:hAnsi="Times New Roman" w:eastAsia="黑体"/>
          <w:b w:val="0"/>
          <w:color w:val="auto"/>
          <w:highlight w:val="none"/>
        </w:rPr>
        <w:t>政拨款收入支出决算总体情况说明</w:t>
      </w:r>
      <w:bookmarkEnd w:id="42"/>
      <w:bookmarkEnd w:id="43"/>
      <w:bookmarkEnd w:id="44"/>
      <w:bookmarkEnd w:id="45"/>
    </w:p>
    <w:p>
      <w:pPr>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856.47</w:t>
      </w:r>
      <w:r>
        <w:rPr>
          <w:rFonts w:hint="eastAsia" w:ascii="仿宋_GB2312" w:hAnsi="仿宋_GB2312" w:eastAsia="仿宋_GB2312" w:cs="仿宋_GB2312"/>
          <w:color w:val="auto"/>
          <w:kern w:val="2"/>
          <w:sz w:val="32"/>
          <w:szCs w:val="32"/>
          <w:highlight w:val="none"/>
          <w:lang w:val="en-US" w:eastAsia="zh-CN" w:bidi="ar-SA"/>
        </w:rPr>
        <w:t>万元。与2023年度相比，财政拨款收入总计、支出总计各减少357.18万元，下降</w:t>
      </w:r>
      <w:r>
        <w:rPr>
          <w:rFonts w:hint="eastAsia" w:ascii="仿宋_GB2312" w:hAnsi="仿宋_GB2312" w:eastAsia="仿宋_GB2312" w:cs="仿宋_GB2312"/>
          <w:color w:val="auto"/>
          <w:sz w:val="32"/>
          <w:szCs w:val="32"/>
          <w:highlight w:val="none"/>
          <w:lang w:val="en-US" w:eastAsia="zh-CN"/>
        </w:rPr>
        <w:t>29.4</w:t>
      </w:r>
      <w:r>
        <w:rPr>
          <w:rFonts w:hint="eastAsia" w:ascii="仿宋_GB2312" w:hAnsi="仿宋_GB2312" w:eastAsia="仿宋_GB2312" w:cs="仿宋_GB2312"/>
          <w:color w:val="auto"/>
          <w:kern w:val="2"/>
          <w:sz w:val="32"/>
          <w:szCs w:val="32"/>
          <w:highlight w:val="none"/>
          <w:lang w:val="en-US" w:eastAsia="zh-CN" w:bidi="ar-SA"/>
        </w:rPr>
        <w:t>%。主要变动原因是</w:t>
      </w:r>
      <w:r>
        <w:rPr>
          <w:rFonts w:hint="eastAsia" w:ascii="仿宋_GB2312" w:hAnsi="仿宋_GB2312" w:eastAsia="仿宋_GB2312" w:cs="仿宋_GB2312"/>
          <w:color w:val="auto"/>
          <w:sz w:val="32"/>
          <w:szCs w:val="32"/>
          <w:highlight w:val="none"/>
          <w:lang w:eastAsia="zh-CN"/>
        </w:rPr>
        <w:t>数字档案馆建设项目预算较上年减少。</w:t>
      </w:r>
    </w:p>
    <w:p>
      <w:pPr>
        <w:pStyle w:val="6"/>
        <w:jc w:val="center"/>
        <w:rPr>
          <w:rFonts w:hint="eastAsia" w:ascii="Times New Roman" w:hAnsi="Times New Roman" w:eastAsia="仿宋_GB2312" w:cs="仿宋_GB2312"/>
          <w:color w:val="auto"/>
          <w:kern w:val="2"/>
          <w:sz w:val="32"/>
          <w:szCs w:val="32"/>
          <w:highlight w:val="none"/>
          <w:lang w:val="en-US" w:eastAsia="zh-CN" w:bidi="ar-SA"/>
        </w:rPr>
      </w:pPr>
      <w:r>
        <w:rPr>
          <w:rFonts w:hint="eastAsia" w:eastAsia="仿宋"/>
          <w:lang w:eastAsia="zh-CN"/>
        </w:rPr>
        <w:drawing>
          <wp:inline distT="0" distB="0" distL="114300" distR="114300">
            <wp:extent cx="4157980" cy="2593340"/>
            <wp:effectExtent l="4445" t="4445" r="9525" b="1206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1"/>
        <w:rPr>
          <w:rStyle w:val="22"/>
          <w:rFonts w:ascii="Times New Roman" w:hAnsi="Times New Roman" w:eastAsia="黑体"/>
          <w:b w:val="0"/>
          <w:color w:val="auto"/>
          <w:highlight w:val="none"/>
        </w:rPr>
      </w:pPr>
      <w:bookmarkStart w:id="46" w:name="_Toc15377209"/>
      <w:bookmarkStart w:id="47" w:name="_Toc2122646615"/>
      <w:bookmarkStart w:id="48" w:name="_Toc15396607"/>
      <w:bookmarkStart w:id="49" w:name="_Toc239638948"/>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2"/>
          <w:rFonts w:hint="eastAsia" w:ascii="Times New Roman" w:hAnsi="Times New Roman" w:eastAsia="黑体"/>
          <w:b w:val="0"/>
          <w:color w:val="auto"/>
          <w:highlight w:val="none"/>
        </w:rPr>
        <w:t>般公共预算财政拨款支出决算情况说明</w:t>
      </w:r>
      <w:bookmarkEnd w:id="46"/>
      <w:bookmarkEnd w:id="47"/>
      <w:bookmarkEnd w:id="48"/>
      <w:bookmarkEnd w:id="49"/>
    </w:p>
    <w:p>
      <w:pPr>
        <w:keepNext w:val="0"/>
        <w:keepLines w:val="0"/>
        <w:pageBreakBefore w:val="0"/>
        <w:widowControl w:val="0"/>
        <w:kinsoku/>
        <w:wordWrap/>
        <w:overflowPunct/>
        <w:topLinePunct w:val="0"/>
        <w:autoSpaceDE/>
        <w:autoSpaceDN/>
        <w:bidi w:val="0"/>
        <w:adjustRightInd/>
        <w:snapToGrid/>
        <w:spacing w:line="576" w:lineRule="exact"/>
        <w:ind w:left="0" w:firstLine="642" w:firstLineChars="200"/>
        <w:textAlignment w:val="auto"/>
        <w:outlineLvl w:val="2"/>
        <w:rPr>
          <w:rFonts w:hint="eastAsia" w:ascii="Times New Roman" w:hAnsi="Times New Roman" w:eastAsia="楷体_GB2312" w:cs="楷体_GB2312"/>
          <w:b/>
          <w:color w:val="auto"/>
          <w:sz w:val="32"/>
          <w:szCs w:val="32"/>
          <w:highlight w:val="none"/>
        </w:rPr>
      </w:pPr>
      <w:bookmarkStart w:id="5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50"/>
    </w:p>
    <w:p>
      <w:pPr>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856.47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%。与2023年度相比，一般公共预算财政拨款支出减357.18万元，下降29.4%。主要变动原因是</w:t>
      </w:r>
      <w:r>
        <w:rPr>
          <w:rFonts w:hint="eastAsia" w:ascii="仿宋_GB2312" w:hAnsi="仿宋_GB2312" w:eastAsia="仿宋_GB2312" w:cs="仿宋_GB2312"/>
          <w:color w:val="auto"/>
          <w:sz w:val="32"/>
          <w:szCs w:val="32"/>
          <w:highlight w:val="none"/>
          <w:lang w:eastAsia="zh-CN"/>
        </w:rPr>
        <w:t>数字档案馆建设项目预算较上年减少。</w:t>
      </w:r>
    </w:p>
    <w:p>
      <w:pPr>
        <w:pStyle w:val="6"/>
        <w:jc w:val="center"/>
        <w:rPr>
          <w:rFonts w:hint="eastAsia" w:ascii="Times New Roman" w:hAnsi="Times New Roman" w:eastAsia="仿宋_GB2312" w:cs="仿宋_GB2312"/>
          <w:color w:val="auto"/>
          <w:kern w:val="2"/>
          <w:sz w:val="32"/>
          <w:szCs w:val="32"/>
          <w:highlight w:val="none"/>
          <w:lang w:val="en-US" w:eastAsia="zh-CN" w:bidi="ar-SA"/>
        </w:rPr>
      </w:pPr>
      <w:r>
        <w:rPr>
          <w:rFonts w:hint="eastAsia" w:eastAsia="仿宋"/>
          <w:lang w:eastAsia="zh-CN"/>
        </w:rPr>
        <w:drawing>
          <wp:inline distT="0" distB="0" distL="114300" distR="114300">
            <wp:extent cx="4176395" cy="2537460"/>
            <wp:effectExtent l="4445" t="5080" r="10160" b="1016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left="0" w:firstLine="642" w:firstLineChars="200"/>
        <w:textAlignment w:val="auto"/>
        <w:outlineLvl w:val="2"/>
        <w:rPr>
          <w:rFonts w:hint="eastAsia" w:ascii="Times New Roman" w:hAnsi="Times New Roman" w:eastAsia="楷体_GB2312" w:cs="楷体_GB2312"/>
          <w:b/>
          <w:color w:val="auto"/>
          <w:sz w:val="32"/>
          <w:szCs w:val="32"/>
          <w:highlight w:val="none"/>
        </w:rPr>
      </w:pPr>
      <w:bookmarkStart w:id="5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51"/>
    </w:p>
    <w:p>
      <w:pPr>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856.47</w:t>
      </w:r>
      <w:r>
        <w:rPr>
          <w:rFonts w:hint="eastAsia" w:ascii="仿宋_GB2312" w:hAnsi="仿宋_GB2312" w:eastAsia="仿宋_GB2312" w:cs="仿宋_GB2312"/>
          <w:color w:val="auto"/>
          <w:kern w:val="2"/>
          <w:sz w:val="32"/>
          <w:szCs w:val="32"/>
          <w:highlight w:val="none"/>
          <w:lang w:val="en-US" w:eastAsia="zh-CN" w:bidi="ar-SA"/>
        </w:rPr>
        <w:t>万元，主要用于以下方面：一般公共服务支出715.83万元，占83.6%；社会保障和就业支出74.62万元，占8.7%；卫生健康支出18.65万元，占2.2%；住房保障支出47.37万元，占5.5%。</w:t>
      </w:r>
    </w:p>
    <w:p>
      <w:pPr>
        <w:pStyle w:val="6"/>
        <w:jc w:val="center"/>
        <w:rPr>
          <w:rFonts w:hint="eastAsia" w:ascii="Times New Roman" w:hAnsi="Times New Roman" w:eastAsia="仿宋_GB2312" w:cs="仿宋_GB2312"/>
          <w:color w:val="auto"/>
          <w:kern w:val="2"/>
          <w:sz w:val="32"/>
          <w:szCs w:val="32"/>
          <w:highlight w:val="none"/>
          <w:lang w:val="en-US" w:eastAsia="zh-CN" w:bidi="ar-SA"/>
        </w:rPr>
      </w:pPr>
      <w:r>
        <w:rPr>
          <w:rFonts w:hint="eastAsia" w:eastAsia="仿宋"/>
          <w:lang w:eastAsia="zh-CN"/>
        </w:rPr>
        <w:drawing>
          <wp:inline distT="0" distB="0" distL="114300" distR="114300">
            <wp:extent cx="4110990" cy="2428240"/>
            <wp:effectExtent l="4445" t="4445" r="18415" b="571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left="0" w:firstLine="642" w:firstLineChars="200"/>
        <w:textAlignment w:val="auto"/>
        <w:outlineLvl w:val="2"/>
        <w:rPr>
          <w:rFonts w:hint="eastAsia" w:ascii="Times New Roman" w:hAnsi="Times New Roman" w:eastAsia="楷体_GB2312" w:cs="楷体_GB2312"/>
          <w:b/>
          <w:color w:val="auto"/>
          <w:sz w:val="32"/>
          <w:szCs w:val="32"/>
          <w:highlight w:val="none"/>
        </w:rPr>
      </w:pPr>
      <w:bookmarkStart w:id="5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52"/>
    </w:p>
    <w:p>
      <w:pPr>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rPr>
          <w:rFonts w:hint="eastAsia" w:ascii="仿宋_GB2312" w:hAnsi="仿宋_GB2312" w:eastAsia="仿宋_GB2312" w:cs="仿宋_GB2312"/>
          <w:color w:val="auto"/>
          <w:kern w:val="2"/>
          <w:sz w:val="32"/>
          <w:szCs w:val="32"/>
          <w:highlight w:val="none"/>
          <w:lang w:val="en-US" w:eastAsia="zh-CN" w:bidi="ar-SA"/>
        </w:rPr>
      </w:pPr>
      <w:bookmarkStart w:id="53" w:name="_Toc15377444"/>
      <w:bookmarkStart w:id="54" w:name="_Toc15377213"/>
      <w:bookmarkStart w:id="55" w:name="_Toc15378460"/>
      <w:r>
        <w:rPr>
          <w:rFonts w:hint="eastAsia" w:ascii="仿宋_GB2312" w:hAnsi="仿宋_GB2312"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856.47</w:t>
      </w:r>
      <w:r>
        <w:rPr>
          <w:rFonts w:hint="eastAsia" w:ascii="仿宋_GB2312" w:hAnsi="仿宋_GB2312" w:eastAsia="仿宋_GB2312" w:cs="仿宋_GB2312"/>
          <w:color w:val="auto"/>
          <w:kern w:val="2"/>
          <w:sz w:val="32"/>
          <w:szCs w:val="32"/>
          <w:highlight w:val="none"/>
          <w:lang w:val="en-US" w:eastAsia="zh-CN" w:bidi="ar-SA"/>
        </w:rPr>
        <w:t>，完成预算100%。其中：</w:t>
      </w:r>
      <w:bookmarkEnd w:id="53"/>
      <w:bookmarkEnd w:id="54"/>
      <w:bookmarkEnd w:id="55"/>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1.一般公共服务</w:t>
      </w:r>
      <w:r>
        <w:rPr>
          <w:rFonts w:hint="eastAsia" w:ascii="仿宋_GB2312" w:hAnsi="仿宋_GB2312" w:eastAsia="仿宋_GB2312" w:cs="仿宋_GB2312"/>
          <w:b/>
          <w:color w:val="auto"/>
          <w:sz w:val="32"/>
          <w:szCs w:val="32"/>
          <w:highlight w:val="none"/>
          <w:lang w:eastAsia="zh-CN"/>
        </w:rPr>
        <w:t>支出</w:t>
      </w:r>
      <w:r>
        <w:rPr>
          <w:rFonts w:hint="eastAsia" w:ascii="仿宋_GB2312" w:hAnsi="仿宋_GB2312" w:eastAsia="仿宋_GB2312" w:cs="仿宋_GB2312"/>
          <w:b/>
          <w:color w:val="auto"/>
          <w:sz w:val="32"/>
          <w:szCs w:val="32"/>
          <w:highlight w:val="none"/>
        </w:rPr>
        <w:t>（类）</w:t>
      </w:r>
      <w:r>
        <w:rPr>
          <w:rFonts w:hint="eastAsia" w:ascii="仿宋_GB2312" w:hAnsi="仿宋_GB2312" w:eastAsia="仿宋_GB2312" w:cs="仿宋_GB2312"/>
          <w:b/>
          <w:color w:val="auto"/>
          <w:sz w:val="32"/>
          <w:szCs w:val="32"/>
          <w:highlight w:val="none"/>
          <w:lang w:val="en-US" w:eastAsia="zh-CN"/>
        </w:rPr>
        <w:t>档案事务（款）行政运行（项）：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460.63</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2" w:firstLineChars="200"/>
        <w:textAlignment w:val="auto"/>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2.一般公共服务支出（类）档案事务（款）一般行政管理事务（项）：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3.64</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2" w:firstLineChars="200"/>
        <w:textAlignment w:val="auto"/>
        <w:rPr>
          <w:rStyle w:val="19"/>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3</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val="en-US" w:eastAsia="zh-CN"/>
        </w:rPr>
        <w:t>一般公共服务支出（类）档案事务（款）档案馆（项）：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251.56</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2" w:firstLineChars="200"/>
        <w:textAlignment w:val="auto"/>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4</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val="en-US" w:eastAsia="zh-CN"/>
        </w:rPr>
        <w:t>社会保障和就业支出（类）行政事业单位养老支出（款）行政单位离退休（项）：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3.04</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2"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5</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val="en-US" w:eastAsia="zh-CN"/>
        </w:rPr>
        <w:t>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56.1</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6</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val="en-US" w:eastAsia="zh-CN"/>
        </w:rPr>
        <w:t>社会保障和就业支出（类）行政事业单位养老支出（款）机关事业单位职业年金缴费支出（项）：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14.63</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2" w:firstLineChars="200"/>
        <w:textAlignment w:val="auto"/>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7.社会保障和就业（类）其他社会保障和就业支出（款）其他社会保障和就业支出（项）：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0.85</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2"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8.卫生健康支出（类）行政事业单位医疗（款）事业单位医疗（项）：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18.65</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2"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b/>
          <w:color w:val="auto"/>
          <w:sz w:val="32"/>
          <w:szCs w:val="32"/>
          <w:highlight w:val="none"/>
          <w:lang w:val="en-US" w:eastAsia="zh-CN"/>
        </w:rPr>
        <w:t>9.住房保障支出（类）住房改革支出（款）住房公积金（项）：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47.37</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keepNext w:val="0"/>
        <w:keepLines w:val="0"/>
        <w:pageBreakBefore w:val="0"/>
        <w:widowControl w:val="0"/>
        <w:tabs>
          <w:tab w:val="right" w:pos="8306"/>
        </w:tabs>
        <w:kinsoku/>
        <w:wordWrap/>
        <w:overflowPunct/>
        <w:topLinePunct w:val="0"/>
        <w:autoSpaceDE/>
        <w:autoSpaceDN/>
        <w:bidi w:val="0"/>
        <w:adjustRightInd/>
        <w:snapToGrid/>
        <w:spacing w:line="576" w:lineRule="exact"/>
        <w:ind w:left="0" w:firstLine="640"/>
        <w:textAlignment w:val="auto"/>
        <w:outlineLvl w:val="1"/>
        <w:rPr>
          <w:rStyle w:val="22"/>
          <w:rFonts w:ascii="Times New Roman" w:hAnsi="Times New Roman"/>
          <w:color w:val="auto"/>
          <w:highlight w:val="none"/>
        </w:rPr>
      </w:pPr>
      <w:bookmarkStart w:id="56" w:name="_Toc15396608"/>
      <w:bookmarkStart w:id="57" w:name="_Toc15377214"/>
      <w:bookmarkStart w:id="58" w:name="_Toc279944242"/>
      <w:bookmarkStart w:id="59" w:name="_Toc688494125"/>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2"/>
          <w:rFonts w:hint="eastAsia" w:ascii="Times New Roman" w:hAnsi="Times New Roman" w:eastAsia="黑体"/>
          <w:b w:val="0"/>
          <w:color w:val="auto"/>
          <w:highlight w:val="none"/>
        </w:rPr>
        <w:t>般公共预算财政拨款基本支出决算情况说明</w:t>
      </w:r>
      <w:bookmarkEnd w:id="56"/>
      <w:bookmarkEnd w:id="57"/>
      <w:bookmarkEnd w:id="58"/>
      <w:bookmarkEnd w:id="59"/>
      <w:r>
        <w:rPr>
          <w:rStyle w:val="22"/>
          <w:rFonts w:ascii="Times New Roman" w:hAnsi="Times New Roman" w:eastAsia="黑体"/>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695.67</w:t>
      </w:r>
      <w:r>
        <w:rPr>
          <w:rFonts w:hint="eastAsia" w:ascii="仿宋_GB2312" w:hAnsi="仿宋_GB2312" w:eastAsia="仿宋_GB2312" w:cs="仿宋_GB2312"/>
          <w:color w:val="auto"/>
          <w:kern w:val="2"/>
          <w:sz w:val="32"/>
          <w:szCs w:val="32"/>
          <w:highlight w:val="none"/>
          <w:lang w:val="en-US" w:eastAsia="zh-CN" w:bidi="ar-SA"/>
        </w:rPr>
        <w:t>万元，其中：</w:t>
      </w:r>
    </w:p>
    <w:p>
      <w:pPr>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610.56</w:t>
      </w:r>
      <w:r>
        <w:rPr>
          <w:rFonts w:hint="eastAsia" w:ascii="仿宋_GB2312" w:hAnsi="仿宋_GB2312" w:eastAsia="仿宋_GB2312" w:cs="仿宋_GB2312"/>
          <w:color w:val="auto"/>
          <w:kern w:val="2"/>
          <w:sz w:val="32"/>
          <w:szCs w:val="32"/>
          <w:highlight w:val="none"/>
          <w:lang w:val="en-US" w:eastAsia="zh-CN" w:bidi="ar-SA"/>
        </w:rPr>
        <w:t>万元，主要包括：基本工资、津贴补贴、奖金、绩效工资、机关事业单位基本养老保险缴费、职业年金缴费、职工基本医疗保险缴费、其他社会保障缴费、住房公积金支出、生活补助、奖励金。</w:t>
      </w:r>
      <w:r>
        <w:rPr>
          <w:rFonts w:hint="eastAsia" w:ascii="仿宋_GB2312" w:hAnsi="仿宋_GB2312" w:eastAsia="仿宋_GB2312" w:cs="仿宋_GB2312"/>
          <w:color w:val="auto"/>
          <w:kern w:val="2"/>
          <w:sz w:val="32"/>
          <w:szCs w:val="32"/>
          <w:highlight w:val="none"/>
          <w:lang w:val="en-US" w:eastAsia="zh-CN" w:bidi="ar-SA"/>
        </w:rPr>
        <w:br w:type="textWrapping"/>
      </w:r>
      <w:r>
        <w:rPr>
          <w:rFonts w:hint="eastAsia" w:ascii="仿宋_GB2312" w:hAnsi="仿宋_GB2312" w:eastAsia="仿宋_GB2312" w:cs="仿宋_GB2312"/>
          <w:color w:val="auto"/>
          <w:kern w:val="2"/>
          <w:sz w:val="32"/>
          <w:szCs w:val="32"/>
          <w:highlight w:val="none"/>
          <w:lang w:val="en-US" w:eastAsia="zh-CN" w:bidi="ar-SA"/>
        </w:rPr>
        <w:t xml:space="preserve">    公用经费</w:t>
      </w:r>
      <w:r>
        <w:rPr>
          <w:rFonts w:hint="eastAsia" w:ascii="仿宋_GB2312" w:hAnsi="仿宋_GB2312" w:eastAsia="仿宋_GB2312" w:cs="仿宋_GB2312"/>
          <w:sz w:val="32"/>
          <w:szCs w:val="32"/>
        </w:rPr>
        <w:t>85.11</w:t>
      </w:r>
      <w:r>
        <w:rPr>
          <w:rFonts w:hint="eastAsia" w:ascii="仿宋_GB2312" w:hAnsi="仿宋_GB2312" w:eastAsia="仿宋_GB2312" w:cs="仿宋_GB2312"/>
          <w:color w:val="auto"/>
          <w:kern w:val="2"/>
          <w:sz w:val="32"/>
          <w:szCs w:val="32"/>
          <w:highlight w:val="none"/>
          <w:lang w:val="en-US" w:eastAsia="zh-CN" w:bidi="ar-SA"/>
        </w:rPr>
        <w:t>万元，主要包括：办公费、印刷费、水费、邮电费、差旅费、维修（护）费、会议费、培训费、公务接待费、工会经费、福利费、公务用车运行维护费、其他交通费用、其他商品和服务支出。</w:t>
      </w:r>
    </w:p>
    <w:p>
      <w:pPr>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outlineLvl w:val="1"/>
        <w:rPr>
          <w:rStyle w:val="22"/>
          <w:rFonts w:ascii="Times New Roman" w:hAnsi="Times New Roman" w:eastAsia="黑体"/>
          <w:b w:val="0"/>
          <w:color w:val="auto"/>
          <w:highlight w:val="none"/>
        </w:rPr>
      </w:pPr>
      <w:bookmarkStart w:id="60" w:name="_Toc463584509"/>
      <w:bookmarkStart w:id="61" w:name="_Toc1763154304"/>
      <w:bookmarkStart w:id="62" w:name="_Toc15396609"/>
      <w:bookmarkStart w:id="63" w:name="_Toc15377215"/>
      <w:r>
        <w:rPr>
          <w:rFonts w:hint="eastAsia" w:ascii="Times New Roman" w:hAnsi="Times New Roman" w:eastAsia="黑体"/>
          <w:color w:val="auto"/>
          <w:sz w:val="32"/>
          <w:szCs w:val="32"/>
          <w:highlight w:val="none"/>
        </w:rPr>
        <w:t>七、</w:t>
      </w:r>
      <w:r>
        <w:rPr>
          <w:rStyle w:val="22"/>
          <w:rFonts w:hint="eastAsia" w:ascii="Times New Roman" w:hAnsi="Times New Roman" w:eastAsia="黑体"/>
          <w:b w:val="0"/>
          <w:color w:val="auto"/>
          <w:highlight w:val="none"/>
        </w:rPr>
        <w:t>财政拨款</w:t>
      </w:r>
      <w:r>
        <w:rPr>
          <w:rStyle w:val="22"/>
          <w:rFonts w:hint="eastAsia" w:ascii="Times New Roman" w:hAnsi="Times New Roman" w:eastAsia="黑体"/>
          <w:color w:val="auto"/>
          <w:highlight w:val="none"/>
        </w:rPr>
        <w:t>“</w:t>
      </w:r>
      <w:r>
        <w:rPr>
          <w:rStyle w:val="22"/>
          <w:rFonts w:hint="eastAsia" w:ascii="Times New Roman" w:hAnsi="Times New Roman" w:eastAsia="黑体"/>
          <w:b w:val="0"/>
          <w:color w:val="auto"/>
          <w:highlight w:val="none"/>
        </w:rPr>
        <w:t>三公”经费支出决算情况说明</w:t>
      </w:r>
      <w:bookmarkEnd w:id="60"/>
      <w:bookmarkEnd w:id="61"/>
      <w:bookmarkEnd w:id="62"/>
      <w:bookmarkEnd w:id="63"/>
    </w:p>
    <w:p>
      <w:pPr>
        <w:keepNext w:val="0"/>
        <w:keepLines w:val="0"/>
        <w:pageBreakBefore w:val="0"/>
        <w:widowControl w:val="0"/>
        <w:kinsoku/>
        <w:wordWrap/>
        <w:overflowPunct/>
        <w:topLinePunct w:val="0"/>
        <w:autoSpaceDE/>
        <w:autoSpaceDN/>
        <w:bidi w:val="0"/>
        <w:adjustRightInd/>
        <w:snapToGrid/>
        <w:spacing w:line="576" w:lineRule="exact"/>
        <w:ind w:left="0" w:firstLine="642" w:firstLineChars="200"/>
        <w:textAlignment w:val="auto"/>
        <w:outlineLvl w:val="2"/>
        <w:rPr>
          <w:rFonts w:hint="eastAsia" w:ascii="Times New Roman" w:hAnsi="Times New Roman" w:eastAsia="楷体_GB2312" w:cs="楷体_GB2312"/>
          <w:b/>
          <w:color w:val="auto"/>
          <w:sz w:val="32"/>
          <w:szCs w:val="32"/>
          <w:highlight w:val="none"/>
        </w:rPr>
      </w:pPr>
      <w:bookmarkStart w:id="6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64"/>
    </w:p>
    <w:p>
      <w:pPr>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2.73</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%，较上年度减少0.12万元，下降4.2%。决算数与预算数持平。</w:t>
      </w:r>
    </w:p>
    <w:p>
      <w:pPr>
        <w:keepNext w:val="0"/>
        <w:keepLines w:val="0"/>
        <w:pageBreakBefore w:val="0"/>
        <w:widowControl w:val="0"/>
        <w:kinsoku/>
        <w:wordWrap/>
        <w:overflowPunct/>
        <w:topLinePunct w:val="0"/>
        <w:autoSpaceDE/>
        <w:autoSpaceDN/>
        <w:bidi w:val="0"/>
        <w:adjustRightInd/>
        <w:snapToGrid/>
        <w:spacing w:line="576" w:lineRule="exact"/>
        <w:ind w:left="0" w:firstLine="642" w:firstLineChars="200"/>
        <w:textAlignment w:val="auto"/>
        <w:outlineLvl w:val="2"/>
        <w:rPr>
          <w:rFonts w:hint="eastAsia" w:ascii="Times New Roman" w:hAnsi="Times New Roman" w:eastAsia="楷体_GB2312" w:cs="楷体_GB2312"/>
          <w:b/>
          <w:color w:val="auto"/>
          <w:sz w:val="32"/>
          <w:szCs w:val="32"/>
          <w:highlight w:val="none"/>
        </w:rPr>
      </w:pPr>
      <w:bookmarkStart w:id="6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65"/>
    </w:p>
    <w:p>
      <w:pPr>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2.2</w:t>
      </w:r>
      <w:r>
        <w:rPr>
          <w:rFonts w:hint="eastAsia" w:ascii="仿宋_GB2312" w:hAnsi="仿宋_GB2312" w:eastAsia="仿宋_GB2312" w:cs="仿宋_GB2312"/>
          <w:color w:val="auto"/>
          <w:kern w:val="2"/>
          <w:sz w:val="32"/>
          <w:szCs w:val="32"/>
          <w:highlight w:val="none"/>
          <w:lang w:val="en-US" w:eastAsia="zh-CN" w:bidi="ar-SA"/>
        </w:rPr>
        <w:t>万元，占80.6%；公务接待费支出决算</w:t>
      </w:r>
      <w:r>
        <w:rPr>
          <w:rFonts w:hint="eastAsia" w:ascii="仿宋_GB2312" w:hAnsi="仿宋_GB2312" w:eastAsia="仿宋_GB2312" w:cs="仿宋_GB2312"/>
          <w:sz w:val="32"/>
          <w:szCs w:val="32"/>
        </w:rPr>
        <w:t>0.53</w:t>
      </w:r>
      <w:r>
        <w:rPr>
          <w:rFonts w:hint="eastAsia" w:ascii="仿宋_GB2312" w:hAnsi="仿宋_GB2312" w:eastAsia="仿宋_GB2312" w:cs="仿宋_GB2312"/>
          <w:color w:val="auto"/>
          <w:kern w:val="2"/>
          <w:sz w:val="32"/>
          <w:szCs w:val="32"/>
          <w:highlight w:val="none"/>
          <w:lang w:val="en-US" w:eastAsia="zh-CN" w:bidi="ar-SA"/>
        </w:rPr>
        <w:t>万元，占19.4%。具体情况如下：</w:t>
      </w:r>
    </w:p>
    <w:p>
      <w:pPr>
        <w:pStyle w:val="15"/>
        <w:ind w:left="0" w:leftChars="0" w:firstLine="0" w:firstLineChars="0"/>
        <w:jc w:val="center"/>
        <w:rPr>
          <w:rFonts w:hint="eastAsia"/>
          <w:lang w:val="en-US" w:eastAsia="zh-CN"/>
        </w:rPr>
      </w:pPr>
      <w:r>
        <w:rPr>
          <w:rFonts w:hint="eastAsia" w:eastAsia="仿宋"/>
          <w:lang w:eastAsia="zh-CN"/>
        </w:rPr>
        <w:drawing>
          <wp:inline distT="0" distB="0" distL="114300" distR="114300">
            <wp:extent cx="4197350" cy="2513965"/>
            <wp:effectExtent l="4445" t="4445" r="8255" b="1524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1.因公出国（境）经费支出0万元，年初未安排预算。</w:t>
      </w:r>
      <w:r>
        <w:rPr>
          <w:rFonts w:hint="eastAsia" w:ascii="仿宋_GB2312" w:hAnsi="仿宋_GB2312" w:eastAsia="仿宋_GB2312" w:cs="仿宋_GB2312"/>
          <w:color w:val="auto"/>
          <w:sz w:val="32"/>
          <w:szCs w:val="32"/>
          <w:highlight w:val="none"/>
          <w:lang w:val="en-US" w:eastAsia="zh-CN"/>
        </w:rPr>
        <w:t>因公出国（境）支出决算较2023年无变化。</w:t>
      </w:r>
    </w:p>
    <w:p>
      <w:pPr>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2.公务用车购置及运行维护费支出2.2万元，完成预算100%。</w:t>
      </w:r>
      <w:r>
        <w:rPr>
          <w:rFonts w:hint="eastAsia" w:ascii="仿宋_GB2312" w:hAnsi="仿宋_GB2312" w:eastAsia="仿宋_GB2312" w:cs="仿宋_GB2312"/>
          <w:color w:val="auto"/>
          <w:kern w:val="2"/>
          <w:sz w:val="32"/>
          <w:szCs w:val="32"/>
          <w:highlight w:val="none"/>
          <w:lang w:val="en-US" w:eastAsia="zh-CN" w:bidi="ar-SA"/>
        </w:rPr>
        <w:t>公务用车购置及运行维护费支出决算比2023年度增减少0.4万元，下降15.4%。主要原因是厉行节约，减少公车使用。</w:t>
      </w:r>
    </w:p>
    <w:p>
      <w:pPr>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其中：公务用车购置支出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仿宋_GB2312" w:hAnsi="仿宋_GB2312" w:eastAsia="仿宋_GB2312" w:cs="仿宋_GB2312"/>
          <w:color w:val="auto"/>
          <w:sz w:val="32"/>
          <w:szCs w:val="32"/>
          <w:highlight w:val="none"/>
          <w:lang w:val="en-US" w:eastAsia="zh-CN"/>
        </w:rPr>
        <w:t>现有车辆车况良好，未达到更换标准，全年未购置公务用车</w:t>
      </w:r>
      <w:r>
        <w:rPr>
          <w:rFonts w:hint="eastAsia" w:ascii="仿宋_GB2312" w:hAnsi="仿宋_GB2312" w:eastAsia="仿宋_GB2312" w:cs="仿宋_GB2312"/>
          <w:color w:val="auto"/>
          <w:kern w:val="2"/>
          <w:sz w:val="32"/>
          <w:szCs w:val="32"/>
          <w:highlight w:val="none"/>
          <w:lang w:val="en-US" w:eastAsia="zh-CN" w:bidi="ar-SA"/>
        </w:rPr>
        <w:t>。截至2024年12月31日，单位共有公务用车1辆，其中：轿车1辆。</w:t>
      </w:r>
    </w:p>
    <w:p>
      <w:pPr>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公务用车运行维护费支出</w:t>
      </w:r>
      <w:r>
        <w:rPr>
          <w:rFonts w:hint="eastAsia" w:ascii="仿宋_GB2312" w:hAnsi="仿宋_GB2312" w:eastAsia="仿宋_GB2312" w:cs="仿宋_GB2312"/>
          <w:sz w:val="32"/>
          <w:szCs w:val="32"/>
        </w:rPr>
        <w:t>2.2</w:t>
      </w:r>
      <w:r>
        <w:rPr>
          <w:rFonts w:hint="eastAsia" w:ascii="仿宋_GB2312" w:hAnsi="仿宋_GB2312" w:eastAsia="仿宋_GB2312" w:cs="仿宋_GB2312"/>
          <w:color w:val="auto"/>
          <w:kern w:val="2"/>
          <w:sz w:val="32"/>
          <w:szCs w:val="32"/>
          <w:highlight w:val="none"/>
          <w:lang w:val="en-US" w:eastAsia="zh-CN" w:bidi="ar-SA"/>
        </w:rPr>
        <w:t>万元。主要用于</w:t>
      </w:r>
      <w:r>
        <w:rPr>
          <w:rFonts w:hint="eastAsia" w:ascii="仿宋_GB2312" w:hAnsi="仿宋_GB2312" w:eastAsia="仿宋_GB2312" w:cs="仿宋_GB2312"/>
          <w:color w:val="auto"/>
          <w:sz w:val="32"/>
          <w:szCs w:val="32"/>
          <w:highlight w:val="none"/>
          <w:lang w:val="en-US" w:eastAsia="zh-CN"/>
        </w:rPr>
        <w:t>项目考察调研、集体下乡帮扶及调研出差等</w:t>
      </w:r>
      <w:r>
        <w:rPr>
          <w:rFonts w:hint="eastAsia" w:ascii="仿宋_GB2312" w:hAnsi="仿宋_GB2312" w:eastAsia="仿宋_GB2312" w:cs="仿宋_GB2312"/>
          <w:color w:val="auto"/>
          <w:kern w:val="2"/>
          <w:sz w:val="32"/>
          <w:szCs w:val="32"/>
          <w:highlight w:val="none"/>
          <w:lang w:val="en-US" w:eastAsia="zh-CN" w:bidi="ar-SA"/>
        </w:rPr>
        <w:t>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3.公务接待费支出0.53万元，完成预算100%。</w:t>
      </w:r>
      <w:r>
        <w:rPr>
          <w:rFonts w:hint="eastAsia" w:ascii="仿宋_GB2312" w:hAnsi="仿宋_GB2312" w:eastAsia="仿宋_GB2312" w:cs="仿宋_GB2312"/>
          <w:color w:val="auto"/>
          <w:kern w:val="2"/>
          <w:sz w:val="32"/>
          <w:szCs w:val="32"/>
          <w:highlight w:val="none"/>
          <w:lang w:val="en-US" w:eastAsia="zh-CN" w:bidi="ar-SA"/>
        </w:rPr>
        <w:t>公务接待费支出决算比2023年度增加0.29万元，增长120.83%。主要原因是接待人次增加。其中：</w:t>
      </w:r>
    </w:p>
    <w:p>
      <w:pPr>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国内公务接待支出</w:t>
      </w:r>
      <w:r>
        <w:rPr>
          <w:rFonts w:hint="eastAsia" w:ascii="仿宋_GB2312" w:hAnsi="仿宋_GB2312" w:eastAsia="仿宋_GB2312" w:cs="仿宋_GB2312"/>
          <w:sz w:val="32"/>
          <w:szCs w:val="32"/>
        </w:rPr>
        <w:t>0.53</w:t>
      </w:r>
      <w:r>
        <w:rPr>
          <w:rFonts w:hint="eastAsia" w:ascii="仿宋_GB2312" w:hAnsi="仿宋_GB2312" w:eastAsia="仿宋_GB2312" w:cs="仿宋_GB2312"/>
          <w:color w:val="auto"/>
          <w:kern w:val="2"/>
          <w:sz w:val="32"/>
          <w:szCs w:val="32"/>
          <w:highlight w:val="none"/>
          <w:lang w:val="en-US" w:eastAsia="zh-CN" w:bidi="ar-SA"/>
        </w:rPr>
        <w:t>万元，主要用于执行公务、开展业务活动开支的用餐费等。国内公务接待</w:t>
      </w:r>
      <w:r>
        <w:rPr>
          <w:rFonts w:hint="eastAsia" w:ascii="仿宋_GB2312" w:hAnsi="仿宋_GB2312" w:eastAsia="仿宋_GB2312" w:cs="仿宋_GB2312"/>
          <w:sz w:val="32"/>
          <w:szCs w:val="32"/>
        </w:rPr>
        <w:t>5</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color w:val="auto"/>
          <w:kern w:val="2"/>
          <w:sz w:val="32"/>
          <w:szCs w:val="32"/>
          <w:highlight w:val="none"/>
          <w:lang w:val="en-US" w:eastAsia="zh-CN" w:bidi="ar-SA"/>
        </w:rPr>
        <w:t>人次（不包括陪同人员），共计支出0.53万元，具体内容包括：阿坝州档案馆17人来广考察学习接待用餐1840元，青川县档案馆8人来馆对接工作接待用餐1080元，省档案馆2人来广对接全省档案开放审核培训会相关事项接待用餐430元，省档案馆6人来广召开全省档案开放审核培训会接待用餐940元，省档案局7人来广开展市、州综合业务建设评价工作接待用餐1000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外事接待支出</w:t>
      </w:r>
      <w:bookmarkStart w:id="66" w:name="_Toc15377218"/>
      <w:bookmarkStart w:id="67" w:name="_Toc15396610"/>
      <w:r>
        <w:rPr>
          <w:rFonts w:hint="eastAsia" w:ascii="仿宋_GB2312" w:hAnsi="仿宋_GB2312" w:eastAsia="仿宋_GB2312" w:cs="仿宋_GB2312"/>
          <w:color w:val="auto"/>
          <w:sz w:val="32"/>
          <w:szCs w:val="32"/>
          <w:highlight w:val="none"/>
          <w:lang w:val="en-US" w:eastAsia="zh-CN"/>
        </w:rPr>
        <w:t>0万元，年初未安排预算。外事接待支出决算较2023年无变化。</w:t>
      </w:r>
    </w:p>
    <w:p>
      <w:pPr>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outlineLvl w:val="1"/>
        <w:rPr>
          <w:rStyle w:val="22"/>
          <w:rFonts w:ascii="Times New Roman" w:hAnsi="Times New Roman" w:eastAsia="黑体"/>
          <w:color w:val="auto"/>
          <w:highlight w:val="none"/>
        </w:rPr>
      </w:pPr>
      <w:bookmarkStart w:id="68" w:name="_Toc1055120468"/>
      <w:bookmarkStart w:id="69" w:name="_Toc281471443"/>
      <w:r>
        <w:rPr>
          <w:rFonts w:hint="eastAsia" w:ascii="Times New Roman" w:hAnsi="Times New Roman" w:eastAsia="黑体"/>
          <w:color w:val="auto"/>
          <w:sz w:val="32"/>
          <w:szCs w:val="32"/>
          <w:highlight w:val="none"/>
        </w:rPr>
        <w:t>八、</w:t>
      </w:r>
      <w:r>
        <w:rPr>
          <w:rStyle w:val="22"/>
          <w:rFonts w:hint="eastAsia" w:ascii="Times New Roman" w:hAnsi="Times New Roman" w:eastAsia="黑体"/>
          <w:b w:val="0"/>
          <w:color w:val="auto"/>
          <w:highlight w:val="none"/>
        </w:rPr>
        <w:t>政府性基金预算支出决算情况说明</w:t>
      </w:r>
      <w:bookmarkEnd w:id="66"/>
      <w:bookmarkEnd w:id="67"/>
      <w:bookmarkEnd w:id="68"/>
      <w:bookmarkEnd w:id="69"/>
    </w:p>
    <w:p>
      <w:pPr>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Style w:val="22"/>
          <w:rFonts w:ascii="Times New Roman" w:hAnsi="Times New Roman" w:eastAsia="黑体"/>
          <w:b w:val="0"/>
          <w:color w:val="auto"/>
          <w:highlight w:val="none"/>
        </w:rPr>
      </w:pPr>
      <w:bookmarkStart w:id="70" w:name="_Toc15396611"/>
      <w:bookmarkStart w:id="71" w:name="_Toc1649512168"/>
      <w:bookmarkStart w:id="72" w:name="_Toc15377219"/>
      <w:bookmarkStart w:id="73" w:name="_Toc1731996801"/>
      <w:r>
        <w:rPr>
          <w:rStyle w:val="22"/>
          <w:rFonts w:hint="eastAsia" w:ascii="Times New Roman" w:hAnsi="Times New Roman" w:eastAsia="黑体"/>
          <w:b w:val="0"/>
          <w:color w:val="auto"/>
          <w:highlight w:val="none"/>
          <w:lang w:eastAsia="zh-CN"/>
        </w:rPr>
        <w:t>九、</w:t>
      </w:r>
      <w:r>
        <w:rPr>
          <w:rStyle w:val="22"/>
          <w:rFonts w:hint="eastAsia" w:ascii="Times New Roman" w:hAnsi="Times New Roman" w:eastAsia="黑体"/>
          <w:b w:val="0"/>
          <w:color w:val="auto"/>
          <w:highlight w:val="none"/>
        </w:rPr>
        <w:t>国有资本经营预算支出决算情况说明</w:t>
      </w:r>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Style w:val="22"/>
          <w:rFonts w:hint="eastAsia" w:ascii="Times New Roman" w:hAnsi="Times New Roman" w:eastAsia="黑体"/>
          <w:b w:val="0"/>
          <w:color w:val="auto"/>
          <w:highlight w:val="none"/>
        </w:rPr>
      </w:pPr>
      <w:bookmarkStart w:id="74" w:name="_Toc15396612"/>
      <w:bookmarkStart w:id="75" w:name="_Toc1871526477"/>
      <w:bookmarkStart w:id="76" w:name="_Toc854443493"/>
      <w:bookmarkStart w:id="77" w:name="_Toc15377221"/>
      <w:r>
        <w:rPr>
          <w:rStyle w:val="22"/>
          <w:rFonts w:hint="eastAsia" w:ascii="Times New Roman" w:hAnsi="Times New Roman" w:eastAsia="黑体"/>
          <w:b w:val="0"/>
          <w:color w:val="auto"/>
          <w:highlight w:val="none"/>
          <w:lang w:eastAsia="zh-CN"/>
        </w:rPr>
        <w:t>十、</w:t>
      </w:r>
      <w:r>
        <w:rPr>
          <w:rStyle w:val="22"/>
          <w:rFonts w:hint="eastAsia" w:ascii="Times New Roman" w:hAnsi="Times New Roman" w:eastAsia="黑体"/>
          <w:b w:val="0"/>
          <w:color w:val="auto"/>
          <w:highlight w:val="none"/>
        </w:rPr>
        <w:t>其他重要事项的情况说明</w:t>
      </w:r>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576" w:lineRule="exact"/>
        <w:ind w:left="0" w:firstLine="642" w:firstLineChars="200"/>
        <w:textAlignment w:val="auto"/>
        <w:outlineLvl w:val="2"/>
        <w:rPr>
          <w:rFonts w:hint="eastAsia" w:ascii="Times New Roman" w:hAnsi="Times New Roman" w:eastAsia="楷体_GB2312" w:cs="楷体_GB2312"/>
          <w:b/>
          <w:color w:val="auto"/>
          <w:sz w:val="32"/>
          <w:szCs w:val="32"/>
          <w:highlight w:val="none"/>
        </w:rPr>
      </w:pPr>
      <w:bookmarkStart w:id="78" w:name="_Toc15377222"/>
      <w:r>
        <w:rPr>
          <w:rFonts w:hint="eastAsia" w:ascii="Times New Roman" w:hAnsi="Times New Roman" w:eastAsia="楷体_GB2312" w:cs="楷体_GB2312"/>
          <w:b/>
          <w:color w:val="auto"/>
          <w:sz w:val="32"/>
          <w:szCs w:val="32"/>
          <w:highlight w:val="none"/>
        </w:rPr>
        <w:t>（一）机关运行经费支出情况</w:t>
      </w:r>
      <w:bookmarkEnd w:id="78"/>
    </w:p>
    <w:p>
      <w:pPr>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广元市档案馆</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85.11</w:t>
      </w:r>
      <w:r>
        <w:rPr>
          <w:rFonts w:hint="eastAsia" w:ascii="仿宋_GB2312" w:hAnsi="仿宋_GB2312" w:eastAsia="仿宋_GB2312" w:cs="仿宋_GB2312"/>
          <w:color w:val="auto"/>
          <w:kern w:val="2"/>
          <w:sz w:val="32"/>
          <w:szCs w:val="32"/>
          <w:highlight w:val="none"/>
          <w:lang w:val="en-US" w:eastAsia="zh-CN" w:bidi="ar-SA"/>
        </w:rPr>
        <w:t>万元，比2023年度增加3.35万元，增长4.1%。</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工会经费、福利费、维修费支出增加。</w:t>
      </w:r>
    </w:p>
    <w:p>
      <w:pPr>
        <w:keepNext w:val="0"/>
        <w:keepLines w:val="0"/>
        <w:pageBreakBefore w:val="0"/>
        <w:widowControl w:val="0"/>
        <w:kinsoku/>
        <w:wordWrap/>
        <w:overflowPunct/>
        <w:topLinePunct w:val="0"/>
        <w:autoSpaceDE/>
        <w:autoSpaceDN/>
        <w:bidi w:val="0"/>
        <w:adjustRightInd/>
        <w:snapToGrid/>
        <w:spacing w:line="576" w:lineRule="exact"/>
        <w:ind w:left="0" w:firstLine="642" w:firstLineChars="200"/>
        <w:textAlignment w:val="auto"/>
        <w:outlineLvl w:val="2"/>
        <w:rPr>
          <w:rFonts w:hint="eastAsia" w:ascii="Times New Roman" w:hAnsi="Times New Roman" w:eastAsia="楷体_GB2312" w:cs="楷体_GB2312"/>
          <w:b/>
          <w:color w:val="auto"/>
          <w:sz w:val="32"/>
          <w:szCs w:val="32"/>
          <w:highlight w:val="none"/>
        </w:rPr>
      </w:pPr>
      <w:bookmarkStart w:id="79" w:name="_Toc15377223"/>
      <w:r>
        <w:rPr>
          <w:rFonts w:hint="eastAsia" w:ascii="Times New Roman" w:hAnsi="Times New Roman" w:eastAsia="楷体_GB2312" w:cs="楷体_GB2312"/>
          <w:b/>
          <w:color w:val="auto"/>
          <w:sz w:val="32"/>
          <w:szCs w:val="32"/>
          <w:highlight w:val="none"/>
        </w:rPr>
        <w:t>（二）政府采购支出情况</w:t>
      </w:r>
      <w:bookmarkEnd w:id="79"/>
    </w:p>
    <w:p>
      <w:pPr>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广元市档案馆</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58.62</w:t>
      </w:r>
      <w:r>
        <w:rPr>
          <w:rFonts w:hint="eastAsia" w:ascii="仿宋_GB2312" w:hAnsi="仿宋_GB2312" w:eastAsia="仿宋_GB2312" w:cs="仿宋_GB2312"/>
          <w:color w:val="auto"/>
          <w:kern w:val="2"/>
          <w:sz w:val="32"/>
          <w:szCs w:val="32"/>
          <w:highlight w:val="none"/>
          <w:lang w:val="en-US" w:eastAsia="zh-CN" w:bidi="ar-SA"/>
        </w:rPr>
        <w:t>万元，其中：政府采购服务支出</w:t>
      </w:r>
      <w:r>
        <w:rPr>
          <w:rFonts w:hint="eastAsia" w:ascii="仿宋_GB2312" w:hAnsi="仿宋_GB2312" w:eastAsia="仿宋_GB2312" w:cs="仿宋_GB2312"/>
          <w:sz w:val="32"/>
          <w:szCs w:val="32"/>
        </w:rPr>
        <w:t>58.62</w:t>
      </w:r>
      <w:r>
        <w:rPr>
          <w:rFonts w:hint="eastAsia" w:ascii="仿宋_GB2312" w:hAnsi="仿宋_GB2312" w:eastAsia="仿宋_GB2312" w:cs="仿宋_GB2312"/>
          <w:color w:val="auto"/>
          <w:kern w:val="2"/>
          <w:sz w:val="32"/>
          <w:szCs w:val="32"/>
          <w:highlight w:val="none"/>
          <w:lang w:val="en-US" w:eastAsia="zh-CN" w:bidi="ar-SA"/>
        </w:rPr>
        <w:t>万元。主要用于支付数字档案馆建设项目（档案资源质量提升）政府采购合同第三期费用。授予中小企业合同金额</w:t>
      </w:r>
      <w:r>
        <w:rPr>
          <w:rFonts w:hint="eastAsia" w:ascii="仿宋_GB2312" w:hAnsi="仿宋_GB2312" w:eastAsia="仿宋_GB2312" w:cs="仿宋_GB2312"/>
          <w:sz w:val="32"/>
          <w:szCs w:val="32"/>
        </w:rPr>
        <w:t>58.62</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58.62</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left="0" w:firstLine="642" w:firstLineChars="200"/>
        <w:textAlignment w:val="auto"/>
        <w:outlineLvl w:val="2"/>
        <w:rPr>
          <w:rFonts w:hint="eastAsia" w:ascii="Times New Roman" w:hAnsi="Times New Roman" w:eastAsia="楷体_GB2312" w:cs="楷体_GB2312"/>
          <w:b/>
          <w:bCs w:val="0"/>
          <w:color w:val="auto"/>
          <w:sz w:val="32"/>
          <w:szCs w:val="32"/>
          <w:highlight w:val="none"/>
        </w:rPr>
      </w:pPr>
      <w:bookmarkStart w:id="80" w:name="_Toc15377224"/>
      <w:r>
        <w:rPr>
          <w:rFonts w:hint="eastAsia" w:ascii="Times New Roman" w:hAnsi="Times New Roman" w:eastAsia="楷体_GB2312" w:cs="楷体_GB2312"/>
          <w:b/>
          <w:bCs w:val="0"/>
          <w:color w:val="auto"/>
          <w:sz w:val="32"/>
          <w:szCs w:val="32"/>
          <w:highlight w:val="none"/>
        </w:rPr>
        <w:t>（三）国有资产占有使用情况</w:t>
      </w:r>
      <w:bookmarkEnd w:id="80"/>
    </w:p>
    <w:p>
      <w:pPr>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广元市档案馆</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辆，其中：应急保障用车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left="0" w:firstLine="642" w:firstLineChars="200"/>
        <w:textAlignment w:val="auto"/>
        <w:outlineLvl w:val="2"/>
        <w:rPr>
          <w:rFonts w:hint="eastAsia" w:ascii="Times New Roman" w:hAnsi="Times New Roman" w:eastAsia="楷体_GB2312" w:cs="楷体_GB2312"/>
          <w:b/>
          <w:bCs w:val="0"/>
          <w:color w:val="auto"/>
          <w:sz w:val="32"/>
          <w:szCs w:val="32"/>
          <w:highlight w:val="none"/>
        </w:rPr>
      </w:pPr>
      <w:r>
        <w:rPr>
          <w:rFonts w:hint="eastAsia" w:ascii="Times New Roman" w:hAnsi="Times New Roman" w:eastAsia="楷体_GB2312" w:cs="楷体_GB2312"/>
          <w:b/>
          <w:bCs w:val="0"/>
          <w:color w:val="auto"/>
          <w:sz w:val="32"/>
          <w:szCs w:val="32"/>
          <w:highlight w:val="none"/>
        </w:rPr>
        <w:t>（四）预算绩效管理情况</w:t>
      </w:r>
    </w:p>
    <w:p>
      <w:pPr>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预算绩效管理要求，本部门在2024年度预算编制阶段，组织对乡村振兴战略帮扶队项目、数字档案馆建设项目、大楼运行维护项目、档案保管保护与开发项目等4个项目开展了预算事前绩效评估，对4个项目编制了绩效目标，预算执行过程中，选取4个项目开展绩效监控。</w:t>
      </w:r>
    </w:p>
    <w:p>
      <w:pPr>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组织对2024年度一般公共预算全面开展绩效自评，形成广元市档案馆部门整体（含部门预算项目）绩效自评报告、广元市档案馆数字档案馆建设项目专项预算项目绩效自评报告，其中，广元市档案馆部门整体（含部门预算项目）绩效自评得分为90.24分，</w:t>
      </w:r>
      <w:r>
        <w:rPr>
          <w:rFonts w:hint="eastAsia" w:ascii="仿宋_GB2312" w:hAnsi="仿宋_GB2312" w:eastAsia="仿宋_GB2312" w:cs="仿宋_GB2312"/>
          <w:color w:val="auto"/>
          <w:sz w:val="32"/>
          <w:szCs w:val="32"/>
          <w:highlight w:val="none"/>
        </w:rPr>
        <w:t>绩效自评综述：</w:t>
      </w:r>
      <w:r>
        <w:rPr>
          <w:rFonts w:hint="eastAsia" w:ascii="仿宋_GB2312" w:hAnsi="仿宋_GB2312" w:eastAsia="仿宋_GB2312" w:cs="仿宋_GB2312"/>
          <w:color w:val="auto"/>
          <w:sz w:val="32"/>
          <w:szCs w:val="32"/>
          <w:highlight w:val="none"/>
          <w:lang w:val="en-US" w:eastAsia="zh-CN"/>
        </w:rPr>
        <w:t>全年人员类支出保障了单位职工薪金及福利待遇按时足额发放，运转类支出保证了部门正常运行和日常工作的正常开展，特定目标类支出保障了档案重点业务工作的开展，基本达到预期绩效目标。</w:t>
      </w:r>
      <w:r>
        <w:rPr>
          <w:rFonts w:hint="eastAsia" w:ascii="仿宋_GB2312" w:hAnsi="仿宋_GB2312" w:eastAsia="仿宋_GB2312" w:cs="仿宋_GB2312"/>
          <w:color w:val="auto"/>
          <w:kern w:val="2"/>
          <w:sz w:val="32"/>
          <w:szCs w:val="32"/>
          <w:highlight w:val="none"/>
          <w:lang w:val="en-US" w:eastAsia="zh-CN" w:bidi="ar-SA"/>
        </w:rPr>
        <w:t>广元市档案馆数字档案馆建设项目专项预算项目绩效自评得分为69.51分，绩效自评综述：</w:t>
      </w:r>
      <w:r>
        <w:rPr>
          <w:rFonts w:hint="eastAsia" w:ascii="仿宋_GB2312" w:hAnsi="仿宋_GB2312" w:eastAsia="仿宋_GB2312" w:cs="仿宋_GB2312"/>
          <w:b w:val="0"/>
          <w:bCs w:val="0"/>
          <w:color w:val="auto"/>
          <w:kern w:val="0"/>
          <w:position w:val="0"/>
          <w:sz w:val="32"/>
          <w:szCs w:val="32"/>
          <w:highlight w:val="none"/>
          <w:u w:val="none"/>
          <w:shd w:val="clear" w:color="auto" w:fill="FFFFFF"/>
          <w:lang w:val="en-US" w:eastAsia="zh-CN" w:bidi="ar-SA"/>
        </w:rPr>
        <w:t>数字档案馆建设项目</w:t>
      </w:r>
      <w:r>
        <w:rPr>
          <w:rFonts w:hint="eastAsia" w:ascii="仿宋_GB2312" w:hAnsi="仿宋_GB2312" w:eastAsia="仿宋_GB2312" w:cs="仿宋_GB2312"/>
          <w:sz w:val="32"/>
          <w:szCs w:val="32"/>
        </w:rPr>
        <w:t>绩效目标明确，具备实施条件，具有公共性，符合财政资金支持方向</w:t>
      </w:r>
      <w:r>
        <w:rPr>
          <w:rFonts w:hint="eastAsia" w:ascii="仿宋_GB2312" w:hAnsi="仿宋_GB2312" w:eastAsia="仿宋_GB2312" w:cs="仿宋_GB2312"/>
          <w:sz w:val="32"/>
          <w:szCs w:val="32"/>
          <w:lang w:eastAsia="zh-CN"/>
        </w:rPr>
        <w:t>，但</w:t>
      </w:r>
      <w:r>
        <w:rPr>
          <w:rFonts w:hint="eastAsia" w:ascii="仿宋_GB2312" w:hAnsi="仿宋_GB2312" w:eastAsia="仿宋_GB2312" w:cs="仿宋_GB2312"/>
          <w:b w:val="0"/>
          <w:bCs w:val="0"/>
          <w:color w:val="auto"/>
          <w:kern w:val="0"/>
          <w:position w:val="0"/>
          <w:sz w:val="32"/>
          <w:szCs w:val="32"/>
          <w:highlight w:val="none"/>
          <w:u w:val="none"/>
          <w:shd w:val="clear" w:color="auto" w:fill="FFFFFF"/>
          <w:lang w:val="en-US" w:eastAsia="zh-CN" w:bidi="ar-SA"/>
        </w:rPr>
        <w:t>受客观因素影响，2024年部分绩效指标未完成</w:t>
      </w:r>
      <w:r>
        <w:rPr>
          <w:rFonts w:hint="eastAsia" w:ascii="仿宋_GB2312" w:hAnsi="仿宋_GB2312" w:eastAsia="仿宋_GB2312" w:cs="仿宋_GB2312"/>
          <w:color w:val="auto"/>
          <w:kern w:val="2"/>
          <w:sz w:val="32"/>
          <w:szCs w:val="32"/>
          <w:highlight w:val="none"/>
          <w:lang w:val="en-US" w:eastAsia="zh-CN" w:bidi="ar-SA"/>
        </w:rPr>
        <w:t>。绩效自评报告详见附件。</w:t>
      </w:r>
    </w:p>
    <w:p>
      <w:pPr>
        <w:keepNext w:val="0"/>
        <w:keepLines w:val="0"/>
        <w:pageBreakBefore w:val="0"/>
        <w:widowControl w:val="0"/>
        <w:kinsoku/>
        <w:wordWrap/>
        <w:overflowPunct/>
        <w:topLinePunct w:val="0"/>
        <w:autoSpaceDE/>
        <w:autoSpaceDN/>
        <w:bidi w:val="0"/>
        <w:adjustRightInd/>
        <w:snapToGrid/>
        <w:spacing w:line="576" w:lineRule="exact"/>
        <w:ind w:left="0"/>
        <w:textAlignment w:val="auto"/>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br w:type="page"/>
      </w: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81" w:name="_Toc15396613"/>
      <w:bookmarkStart w:id="82" w:name="_Toc1283240256"/>
      <w:bookmarkStart w:id="83" w:name="_Toc15377225"/>
      <w:bookmarkStart w:id="84" w:name="_Toc1325579192"/>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81"/>
      <w:bookmarkEnd w:id="82"/>
      <w:bookmarkEnd w:id="83"/>
      <w:bookmarkEnd w:id="84"/>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pPr>
        <w:pageBreakBefore w:val="0"/>
        <w:kinsoku/>
        <w:wordWrap/>
        <w:overflowPunct/>
        <w:topLinePunct w:val="0"/>
        <w:bidi w:val="0"/>
        <w:spacing w:line="560" w:lineRule="exact"/>
        <w:ind w:left="0" w:leftChars="0"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2.一般公共服务（类）档案事务（款）行政运行（项）：指单位的人员工资及日常工作基本支出。</w:t>
      </w:r>
    </w:p>
    <w:p>
      <w:pPr>
        <w:pStyle w:val="6"/>
        <w:ind w:firstLine="640" w:firstLineChars="200"/>
        <w:rPr>
          <w:rFonts w:hint="default"/>
          <w:highlight w:val="none"/>
          <w:lang w:val="en-US"/>
        </w:rPr>
      </w:pPr>
      <w:r>
        <w:rPr>
          <w:rFonts w:hint="eastAsia" w:hAnsi="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一般公共服务（类）档案事务（款）</w:t>
      </w:r>
      <w:r>
        <w:rPr>
          <w:rFonts w:hint="eastAsia" w:hAnsi="仿宋_GB2312" w:cs="仿宋_GB2312"/>
          <w:color w:val="auto"/>
          <w:kern w:val="2"/>
          <w:sz w:val="32"/>
          <w:szCs w:val="32"/>
          <w:highlight w:val="none"/>
          <w:lang w:val="en-US" w:eastAsia="zh-CN" w:bidi="ar-SA"/>
        </w:rPr>
        <w:t>一般行政管理事务</w:t>
      </w:r>
      <w:r>
        <w:rPr>
          <w:rFonts w:hint="eastAsia" w:ascii="仿宋_GB2312" w:hAnsi="仿宋_GB2312" w:eastAsia="仿宋_GB2312" w:cs="仿宋_GB2312"/>
          <w:color w:val="auto"/>
          <w:kern w:val="2"/>
          <w:sz w:val="32"/>
          <w:szCs w:val="32"/>
          <w:highlight w:val="none"/>
          <w:lang w:val="en-US" w:eastAsia="zh-CN" w:bidi="ar-SA"/>
        </w:rPr>
        <w:t>（项）</w:t>
      </w:r>
      <w:r>
        <w:rPr>
          <w:rFonts w:hint="eastAsia" w:hAnsi="仿宋_GB2312" w:cs="仿宋_GB2312"/>
          <w:color w:val="auto"/>
          <w:kern w:val="2"/>
          <w:sz w:val="32"/>
          <w:szCs w:val="32"/>
          <w:highlight w:val="none"/>
          <w:lang w:val="en-US" w:eastAsia="zh-CN" w:bidi="ar-SA"/>
        </w:rPr>
        <w:t>：指乡村</w:t>
      </w:r>
      <w:r>
        <w:rPr>
          <w:rFonts w:hint="eastAsia" w:ascii="仿宋_GB2312" w:hAnsi="仿宋_GB2312" w:eastAsia="仿宋_GB2312" w:cs="仿宋_GB2312"/>
          <w:color w:val="auto"/>
          <w:kern w:val="2"/>
          <w:sz w:val="32"/>
          <w:szCs w:val="32"/>
          <w:highlight w:val="none"/>
          <w:lang w:val="en-US" w:eastAsia="zh-CN" w:bidi="ar-SA"/>
        </w:rPr>
        <w:t>振兴战略帮扶队驻村补助及交通等方面支出。</w:t>
      </w:r>
    </w:p>
    <w:p>
      <w:pPr>
        <w:keepNext w:val="0"/>
        <w:keepLines w:val="0"/>
        <w:pageBreakBefore w:val="0"/>
        <w:widowControl w:val="0"/>
        <w:kinsoku/>
        <w:wordWrap/>
        <w:overflowPunct/>
        <w:topLinePunct w:val="0"/>
        <w:bidi w:val="0"/>
        <w:snapToGrid/>
        <w:spacing w:line="558"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4.一般公共服务（类）档案事务（款）档案馆（项）：指</w:t>
      </w:r>
      <w:r>
        <w:rPr>
          <w:rFonts w:hint="eastAsia" w:hAnsi="仿宋_GB2312" w:eastAsia="仿宋_GB2312" w:cs="仿宋_GB2312"/>
          <w:color w:val="auto"/>
          <w:kern w:val="2"/>
          <w:sz w:val="32"/>
          <w:szCs w:val="32"/>
          <w:highlight w:val="none"/>
          <w:lang w:val="en-US" w:eastAsia="zh-CN" w:bidi="ar-SA"/>
        </w:rPr>
        <w:t>档案综合大楼运行、</w:t>
      </w:r>
      <w:r>
        <w:rPr>
          <w:rFonts w:hint="eastAsia" w:ascii="仿宋_GB2312" w:hAnsi="仿宋_GB2312" w:eastAsia="仿宋_GB2312" w:cs="仿宋_GB2312"/>
          <w:color w:val="auto"/>
          <w:kern w:val="2"/>
          <w:sz w:val="32"/>
          <w:szCs w:val="32"/>
          <w:highlight w:val="none"/>
          <w:lang w:val="en-US" w:eastAsia="zh-CN" w:bidi="ar-SA"/>
        </w:rPr>
        <w:t>档案资料征集，档案保护、编纂，档案信息资源开发、提供、利用，档案馆设备购置、维护，档案陈列展览等方面支出。</w:t>
      </w:r>
    </w:p>
    <w:p>
      <w:pPr>
        <w:keepNext w:val="0"/>
        <w:keepLines w:val="0"/>
        <w:pageBreakBefore w:val="0"/>
        <w:widowControl w:val="0"/>
        <w:kinsoku/>
        <w:wordWrap/>
        <w:overflowPunct/>
        <w:topLinePunct w:val="0"/>
        <w:bidi w:val="0"/>
        <w:snapToGrid/>
        <w:spacing w:line="558"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5.社会保障和就业支出（类）行政事业单位养老支出（款）行政单位离退休（项）：</w:t>
      </w:r>
      <w:r>
        <w:rPr>
          <w:rFonts w:hint="eastAsia" w:ascii="仿宋_GB2312" w:hAnsi="仿宋_GB2312" w:eastAsia="仿宋_GB2312" w:cs="仿宋_GB2312"/>
          <w:sz w:val="32"/>
          <w:szCs w:val="32"/>
          <w:lang w:eastAsia="zh-CN"/>
        </w:rPr>
        <w:t>指单位退休人员退休费</w:t>
      </w:r>
      <w:r>
        <w:rPr>
          <w:rFonts w:hint="eastAsia" w:ascii="仿宋_GB2312" w:hAnsi="仿宋_GB2312" w:eastAsia="仿宋_GB2312" w:cs="仿宋_GB2312"/>
          <w:color w:val="auto"/>
          <w:kern w:val="2"/>
          <w:sz w:val="32"/>
          <w:szCs w:val="32"/>
          <w:lang w:val="en-US" w:eastAsia="zh-CN" w:bidi="ar-SA"/>
        </w:rPr>
        <w:t>支出。</w:t>
      </w:r>
    </w:p>
    <w:p>
      <w:pPr>
        <w:keepNext w:val="0"/>
        <w:keepLines w:val="0"/>
        <w:pageBreakBefore w:val="0"/>
        <w:widowControl w:val="0"/>
        <w:kinsoku/>
        <w:wordWrap/>
        <w:overflowPunct/>
        <w:topLinePunct w:val="0"/>
        <w:bidi w:val="0"/>
        <w:snapToGrid/>
        <w:spacing w:line="558"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6.社会保障和就业支出（类）行政事业单位养老支出（款）机关事业单位基本养老保险缴费支出（项）：</w:t>
      </w:r>
      <w:r>
        <w:rPr>
          <w:rFonts w:hint="eastAsia" w:ascii="仿宋_GB2312" w:hAnsi="仿宋_GB2312" w:eastAsia="仿宋_GB2312" w:cs="仿宋_GB2312"/>
          <w:sz w:val="32"/>
          <w:szCs w:val="32"/>
          <w:lang w:eastAsia="zh-CN"/>
        </w:rPr>
        <w:t>指机关事业单位实施养老保险制度由</w:t>
      </w:r>
      <w:r>
        <w:rPr>
          <w:rFonts w:hint="eastAsia" w:ascii="仿宋_GB2312" w:hAnsi="仿宋_GB2312" w:eastAsia="仿宋_GB2312" w:cs="仿宋_GB2312"/>
          <w:color w:val="auto"/>
          <w:kern w:val="2"/>
          <w:sz w:val="32"/>
          <w:szCs w:val="32"/>
          <w:lang w:val="en-US" w:eastAsia="zh-CN" w:bidi="ar-SA"/>
        </w:rPr>
        <w:t>单位实际缴纳的基本养老保险费支出。</w:t>
      </w:r>
    </w:p>
    <w:p>
      <w:pPr>
        <w:pStyle w:val="15"/>
        <w:keepNext w:val="0"/>
        <w:keepLines w:val="0"/>
        <w:pageBreakBefore w:val="0"/>
        <w:widowControl w:val="0"/>
        <w:kinsoku/>
        <w:wordWrap/>
        <w:overflowPunct/>
        <w:topLinePunct w:val="0"/>
        <w:bidi w:val="0"/>
        <w:snapToGrid/>
        <w:spacing w:after="0" w:line="558"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社会保障和就业（类）行政事业单位</w:t>
      </w:r>
      <w:r>
        <w:rPr>
          <w:rFonts w:hint="eastAsia" w:ascii="仿宋_GB2312" w:hAnsi="仿宋_GB2312" w:eastAsia="仿宋_GB2312" w:cs="仿宋_GB2312"/>
          <w:color w:val="auto"/>
          <w:kern w:val="2"/>
          <w:sz w:val="32"/>
          <w:szCs w:val="32"/>
          <w:lang w:val="en-US" w:eastAsia="zh-CN" w:bidi="ar-SA"/>
        </w:rPr>
        <w:t>养老支出</w:t>
      </w:r>
      <w:r>
        <w:rPr>
          <w:rFonts w:hint="eastAsia" w:ascii="仿宋_GB2312" w:hAnsi="仿宋_GB2312" w:eastAsia="仿宋_GB2312" w:cs="仿宋_GB2312"/>
          <w:sz w:val="32"/>
          <w:szCs w:val="32"/>
        </w:rPr>
        <w:t>（款）机关事业单位</w:t>
      </w:r>
      <w:r>
        <w:rPr>
          <w:rFonts w:hint="eastAsia" w:ascii="仿宋_GB2312" w:hAnsi="仿宋_GB2312" w:eastAsia="仿宋_GB2312" w:cs="仿宋_GB2312"/>
          <w:sz w:val="32"/>
          <w:szCs w:val="32"/>
          <w:lang w:eastAsia="zh-CN"/>
        </w:rPr>
        <w:t>职业年金缴费支出</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：指机关事业单位实施养老保险制度由单位实际缴纳的职业年金支出。</w:t>
      </w:r>
    </w:p>
    <w:p>
      <w:pPr>
        <w:pageBreakBefore w:val="0"/>
        <w:kinsoku/>
        <w:wordWrap/>
        <w:overflowPunct/>
        <w:topLinePunct w:val="0"/>
        <w:bidi w:val="0"/>
        <w:spacing w:line="560" w:lineRule="exact"/>
        <w:ind w:left="0" w:leftChars="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社会保障和就业（类）</w:t>
      </w:r>
      <w:r>
        <w:rPr>
          <w:rFonts w:hint="eastAsia" w:ascii="仿宋_GB2312" w:hAnsi="仿宋_GB2312" w:eastAsia="仿宋_GB2312" w:cs="仿宋_GB2312"/>
          <w:sz w:val="32"/>
          <w:szCs w:val="32"/>
          <w:lang w:eastAsia="zh-CN"/>
        </w:rPr>
        <w:t>其他社会保障和就业（款）其他社会保障和就业</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：专指除养老、医疗以外的其他用于社会保障和就业方面的支出，例如失业保险、工伤保险等。</w:t>
      </w:r>
    </w:p>
    <w:p>
      <w:pPr>
        <w:pageBreakBefore w:val="0"/>
        <w:kinsoku/>
        <w:wordWrap/>
        <w:overflowPunct/>
        <w:topLinePunct w:val="0"/>
        <w:bidi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行政事业单位医疗</w:t>
      </w:r>
      <w:r>
        <w:rPr>
          <w:rFonts w:hint="eastAsia" w:ascii="仿宋_GB2312" w:hAnsi="仿宋_GB2312" w:eastAsia="仿宋_GB2312" w:cs="仿宋_GB2312"/>
          <w:sz w:val="32"/>
          <w:szCs w:val="32"/>
        </w:rPr>
        <w:t>（款）事业单位医疗（项）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指单位为职工缴纳</w:t>
      </w:r>
      <w:r>
        <w:rPr>
          <w:rFonts w:hint="eastAsia" w:ascii="仿宋_GB2312" w:hAnsi="仿宋_GB2312" w:eastAsia="仿宋_GB2312" w:cs="仿宋_GB2312"/>
          <w:sz w:val="32"/>
          <w:szCs w:val="32"/>
          <w:lang w:eastAsia="zh-CN"/>
        </w:rPr>
        <w:t>的基本医疗保险缴费经费</w:t>
      </w:r>
      <w:r>
        <w:rPr>
          <w:rFonts w:hint="eastAsia" w:ascii="仿宋_GB2312" w:hAnsi="仿宋_GB2312" w:eastAsia="仿宋_GB2312" w:cs="仿宋_GB2312"/>
          <w:sz w:val="32"/>
          <w:szCs w:val="32"/>
        </w:rPr>
        <w:t>。</w:t>
      </w:r>
    </w:p>
    <w:p>
      <w:pPr>
        <w:pageBreakBefore w:val="0"/>
        <w:kinsoku/>
        <w:wordWrap/>
        <w:overflowPunct/>
        <w:topLinePunct w:val="0"/>
        <w:bidi w:val="0"/>
        <w:spacing w:line="560" w:lineRule="exact"/>
        <w:ind w:left="0" w:leftChars="0"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hAnsi="仿宋_GB2312" w:eastAsia="仿宋_GB2312" w:cs="仿宋_GB2312"/>
          <w:sz w:val="32"/>
          <w:szCs w:val="32"/>
        </w:rPr>
        <w:t>住房保障（类）住房改革（款）住房公积金（项）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行政事业</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按人力资源和社会保障部、财政部规定的基本工资和津贴补贴以及规定比例</w:t>
      </w:r>
      <w:r>
        <w:rPr>
          <w:rFonts w:hint="eastAsia" w:ascii="仿宋_GB2312" w:hAnsi="仿宋_GB2312" w:eastAsia="仿宋_GB2312" w:cs="仿宋_GB2312"/>
          <w:sz w:val="32"/>
          <w:szCs w:val="32"/>
        </w:rPr>
        <w:t>为职工缴纳的住房公积金。</w:t>
      </w:r>
    </w:p>
    <w:p>
      <w:pPr>
        <w:pageBreakBefore w:val="0"/>
        <w:kinsoku/>
        <w:wordWrap/>
        <w:overflowPunct/>
        <w:topLinePunct w:val="0"/>
        <w:bidi w:val="0"/>
        <w:spacing w:line="560" w:lineRule="exact"/>
        <w:ind w:left="0" w:leftChars="0"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pageBreakBefore w:val="0"/>
        <w:kinsoku/>
        <w:wordWrap/>
        <w:overflowPunct/>
        <w:topLinePunct w:val="0"/>
        <w:bidi w:val="0"/>
        <w:spacing w:line="560" w:lineRule="exact"/>
        <w:ind w:left="0" w:leftChars="0"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p>
    <w:p>
      <w:pPr>
        <w:pStyle w:val="31"/>
        <w:pageBreakBefore w:val="0"/>
        <w:kinsoku/>
        <w:wordWrap/>
        <w:overflowPunct/>
        <w:topLinePunct w:val="0"/>
        <w:bidi w:val="0"/>
        <w:spacing w:line="560" w:lineRule="exact"/>
        <w:ind w:left="0" w:leftChars="0"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1"/>
        <w:pageBreakBefore w:val="0"/>
        <w:kinsoku/>
        <w:wordWrap/>
        <w:overflowPunct/>
        <w:topLinePunct w:val="0"/>
        <w:bidi w:val="0"/>
        <w:spacing w:line="560" w:lineRule="exact"/>
        <w:ind w:left="0" w:leftChars="0"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w:t>
      </w:r>
      <w:r>
        <w:rPr>
          <w:rFonts w:hint="eastAsia" w:ascii="仿宋_GB2312" w:eastAsia="仿宋_GB2312"/>
          <w:color w:val="auto"/>
          <w:sz w:val="32"/>
          <w:szCs w:val="32"/>
          <w:highlight w:val="none"/>
          <w:lang w:eastAsia="zh-CN"/>
        </w:rPr>
        <w:t>维修（护）费、</w:t>
      </w:r>
      <w:r>
        <w:rPr>
          <w:rFonts w:hint="eastAsia" w:ascii="仿宋_GB2312" w:eastAsia="仿宋_GB2312"/>
          <w:color w:val="auto"/>
          <w:sz w:val="32"/>
          <w:szCs w:val="32"/>
          <w:highlight w:val="none"/>
        </w:rPr>
        <w:t>差旅费、会议费、</w:t>
      </w:r>
      <w:r>
        <w:rPr>
          <w:rFonts w:hint="eastAsia" w:ascii="仿宋_GB2312" w:eastAsia="仿宋_GB2312"/>
          <w:color w:val="auto"/>
          <w:sz w:val="32"/>
          <w:szCs w:val="32"/>
          <w:highlight w:val="none"/>
          <w:lang w:eastAsia="zh-CN"/>
        </w:rPr>
        <w:t>培训费、</w:t>
      </w:r>
      <w:r>
        <w:rPr>
          <w:rFonts w:hint="eastAsia" w:ascii="仿宋_GB2312" w:eastAsia="仿宋_GB2312"/>
          <w:color w:val="auto"/>
          <w:sz w:val="32"/>
          <w:szCs w:val="32"/>
          <w:highlight w:val="none"/>
        </w:rPr>
        <w:t>福利费、</w:t>
      </w:r>
      <w:r>
        <w:rPr>
          <w:rFonts w:hint="eastAsia" w:ascii="仿宋_GB2312" w:eastAsia="仿宋_GB2312"/>
          <w:color w:val="auto"/>
          <w:sz w:val="32"/>
          <w:szCs w:val="32"/>
          <w:highlight w:val="none"/>
          <w:lang w:eastAsia="zh-CN"/>
        </w:rPr>
        <w:t>劳务费、公务接待费、</w:t>
      </w:r>
      <w:r>
        <w:rPr>
          <w:rFonts w:hint="eastAsia" w:ascii="仿宋_GB2312" w:eastAsia="仿宋_GB2312"/>
          <w:color w:val="auto"/>
          <w:sz w:val="32"/>
          <w:szCs w:val="32"/>
          <w:highlight w:val="none"/>
        </w:rPr>
        <w:t>公务用车运行维护费以及其他费用。</w:t>
      </w:r>
    </w:p>
    <w:p>
      <w:pPr>
        <w:spacing w:line="600" w:lineRule="exact"/>
        <w:jc w:val="center"/>
        <w:outlineLvl w:val="0"/>
        <w:rPr>
          <w:rStyle w:val="21"/>
          <w:rFonts w:hint="eastAsia" w:ascii="Times New Roman" w:hAnsi="Times New Roman" w:eastAsia="黑体"/>
          <w:b w:val="0"/>
          <w:color w:val="auto"/>
          <w:highlight w:val="none"/>
          <w:lang w:eastAsia="zh-CN"/>
        </w:rPr>
      </w:pPr>
      <w:bookmarkStart w:id="85"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86" w:name="_Toc1111817882"/>
      <w:bookmarkStart w:id="87" w:name="_Toc2037882426"/>
      <w:bookmarkStart w:id="8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86"/>
      <w:bookmarkEnd w:id="87"/>
      <w:bookmarkEnd w:id="88"/>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bookmarkStart w:id="89" w:name="_Toc1462320001"/>
      <w:bookmarkStart w:id="90" w:name="_Toc1445019598"/>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89"/>
      <w:bookmarkEnd w:id="90"/>
    </w:p>
    <w:p>
      <w:pPr>
        <w:keepNext w:val="0"/>
        <w:keepLines w:val="0"/>
        <w:pageBreakBefore w:val="0"/>
        <w:widowControl/>
        <w:kinsoku/>
        <w:wordWrap/>
        <w:overflowPunct/>
        <w:topLinePunct w:val="0"/>
        <w:autoSpaceDE/>
        <w:autoSpaceDN/>
        <w:bidi w:val="0"/>
        <w:spacing w:line="576"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val="0"/>
        <w:kinsoku/>
        <w:wordWrap/>
        <w:overflowPunct w:val="0"/>
        <w:topLinePunct w:val="0"/>
        <w:autoSpaceDE/>
        <w:autoSpaceDN/>
        <w:bidi w:val="0"/>
        <w:spacing w:line="576" w:lineRule="exact"/>
        <w:ind w:leftChars="0"/>
        <w:contextualSpacing/>
        <w:jc w:val="center"/>
        <w:textAlignment w:val="auto"/>
        <w:rPr>
          <w:rFonts w:hint="eastAsia" w:ascii="方正小标宋简体" w:hAnsi="方正小标宋简体" w:eastAsia="方正小标宋简体" w:cs="方正小标宋简体"/>
          <w:b w:val="0"/>
          <w:bCs w:val="0"/>
          <w:sz w:val="44"/>
          <w:szCs w:val="44"/>
          <w:highlight w:val="none"/>
          <w:shd w:val="clear" w:color="auto" w:fill="FFFFFF"/>
          <w:lang w:eastAsia="zh-CN"/>
        </w:rPr>
      </w:pPr>
      <w:r>
        <w:rPr>
          <w:rFonts w:hint="eastAsia" w:ascii="方正小标宋简体" w:hAnsi="方正小标宋简体" w:eastAsia="方正小标宋简体" w:cs="方正小标宋简体"/>
          <w:b w:val="0"/>
          <w:bCs w:val="0"/>
          <w:sz w:val="44"/>
          <w:szCs w:val="44"/>
          <w:highlight w:val="none"/>
          <w:shd w:val="clear" w:color="auto" w:fill="FFFFFF"/>
          <w:lang w:val="en-US" w:eastAsia="zh-CN"/>
        </w:rPr>
        <w:t>2024年</w:t>
      </w:r>
      <w:r>
        <w:rPr>
          <w:rFonts w:hint="eastAsia" w:ascii="方正小标宋简体" w:hAnsi="方正小标宋简体" w:eastAsia="方正小标宋简体" w:cs="方正小标宋简体"/>
          <w:b w:val="0"/>
          <w:bCs w:val="0"/>
          <w:sz w:val="44"/>
          <w:szCs w:val="44"/>
          <w:highlight w:val="none"/>
          <w:shd w:val="clear" w:color="auto" w:fill="FFFFFF"/>
          <w:lang w:eastAsia="zh-CN"/>
        </w:rPr>
        <w:t>广元市档案馆</w:t>
      </w:r>
      <w:r>
        <w:rPr>
          <w:rFonts w:hint="eastAsia" w:ascii="方正小标宋简体" w:hAnsi="方正小标宋简体" w:eastAsia="方正小标宋简体" w:cs="方正小标宋简体"/>
          <w:b w:val="0"/>
          <w:bCs w:val="0"/>
          <w:sz w:val="44"/>
          <w:szCs w:val="44"/>
          <w:highlight w:val="none"/>
          <w:shd w:val="clear" w:color="auto" w:fill="FFFFFF"/>
        </w:rPr>
        <w:t>部门</w:t>
      </w:r>
      <w:r>
        <w:rPr>
          <w:rFonts w:hint="eastAsia" w:ascii="方正小标宋简体" w:hAnsi="方正小标宋简体" w:eastAsia="方正小标宋简体" w:cs="方正小标宋简体"/>
          <w:b w:val="0"/>
          <w:bCs w:val="0"/>
          <w:sz w:val="44"/>
          <w:szCs w:val="44"/>
          <w:highlight w:val="none"/>
          <w:shd w:val="clear" w:color="auto" w:fill="FFFFFF"/>
          <w:lang w:eastAsia="zh-CN"/>
        </w:rPr>
        <w:t>预算</w:t>
      </w:r>
      <w:r>
        <w:rPr>
          <w:rFonts w:hint="eastAsia" w:ascii="方正小标宋简体" w:hAnsi="方正小标宋简体" w:eastAsia="方正小标宋简体" w:cs="方正小标宋简体"/>
          <w:b w:val="0"/>
          <w:bCs w:val="0"/>
          <w:sz w:val="44"/>
          <w:szCs w:val="44"/>
          <w:highlight w:val="none"/>
          <w:shd w:val="clear" w:color="auto" w:fill="FFFFFF"/>
        </w:rPr>
        <w:t>绩效</w:t>
      </w:r>
      <w:r>
        <w:rPr>
          <w:rFonts w:hint="eastAsia" w:ascii="方正小标宋简体" w:hAnsi="方正小标宋简体" w:eastAsia="方正小标宋简体" w:cs="方正小标宋简体"/>
          <w:b w:val="0"/>
          <w:bCs w:val="0"/>
          <w:sz w:val="44"/>
          <w:szCs w:val="44"/>
          <w:highlight w:val="none"/>
          <w:shd w:val="clear" w:color="auto" w:fill="FFFFFF"/>
          <w:lang w:eastAsia="zh-CN"/>
        </w:rPr>
        <w:t>自评报告</w:t>
      </w:r>
    </w:p>
    <w:p>
      <w:pPr>
        <w:keepNext w:val="0"/>
        <w:keepLines w:val="0"/>
        <w:pageBreakBefore w:val="0"/>
        <w:widowControl w:val="0"/>
        <w:kinsoku/>
        <w:wordWrap/>
        <w:overflowPunct w:val="0"/>
        <w:topLinePunct w:val="0"/>
        <w:autoSpaceDE/>
        <w:autoSpaceDN/>
        <w:bidi w:val="0"/>
        <w:adjustRightInd w:val="0"/>
        <w:snapToGrid w:val="0"/>
        <w:spacing w:line="576" w:lineRule="exact"/>
        <w:ind w:leftChars="0"/>
        <w:contextualSpacing/>
        <w:jc w:val="left"/>
        <w:textAlignment w:val="auto"/>
        <w:rPr>
          <w:rFonts w:ascii="黑体" w:hAnsi="宋体" w:eastAsia="黑体" w:cs="宋体"/>
          <w:b w:val="0"/>
          <w:bCs w:val="0"/>
          <w:color w:val="000000"/>
          <w:kern w:val="0"/>
          <w:sz w:val="24"/>
          <w:szCs w:val="32"/>
          <w:highlight w:val="none"/>
          <w:shd w:val="clear" w:color="auto" w:fill="FFFFFF"/>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cs="Times New Roman"/>
          <w:sz w:val="32"/>
          <w:szCs w:val="32"/>
        </w:rPr>
      </w:pPr>
      <w:r>
        <w:rPr>
          <w:rFonts w:hint="eastAsia"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left"/>
        <w:textAlignment w:val="auto"/>
        <w:rPr>
          <w:rFonts w:hint="default" w:eastAsia="仿宋_GB2312"/>
          <w:sz w:val="32"/>
          <w:szCs w:val="32"/>
          <w:lang w:val="en-US" w:eastAsia="zh-CN"/>
        </w:rPr>
      </w:pPr>
      <w:r>
        <w:rPr>
          <w:rFonts w:hint="eastAsia" w:eastAsia="楷体_GB2312" w:cs="Times New Roman"/>
          <w:b w:val="0"/>
          <w:bCs w:val="0"/>
          <w:color w:val="000000"/>
          <w:kern w:val="0"/>
          <w:sz w:val="32"/>
          <w:szCs w:val="32"/>
          <w:highlight w:val="none"/>
          <w:shd w:val="clear" w:color="auto" w:fill="FFFFFF"/>
          <w:lang w:val="zh-CN"/>
        </w:rPr>
        <w:t>（一）</w:t>
      </w:r>
      <w:r>
        <w:rPr>
          <w:rFonts w:hint="default" w:ascii="Times New Roman" w:hAnsi="Times New Roman" w:eastAsia="楷体_GB2312" w:cs="Times New Roman"/>
          <w:b w:val="0"/>
          <w:bCs w:val="0"/>
          <w:color w:val="000000"/>
          <w:kern w:val="0"/>
          <w:sz w:val="32"/>
          <w:szCs w:val="32"/>
          <w:highlight w:val="none"/>
          <w:shd w:val="clear" w:color="auto" w:fill="FFFFFF"/>
          <w:lang w:val="zh-CN"/>
        </w:rPr>
        <w:t>机构组成。</w:t>
      </w:r>
      <w:r>
        <w:rPr>
          <w:rFonts w:hint="eastAsia" w:ascii="仿宋_GB2312" w:hAnsi="仿宋_GB2312" w:eastAsia="仿宋_GB2312" w:cs="仿宋_GB2312"/>
          <w:color w:val="000000"/>
          <w:kern w:val="0"/>
          <w:sz w:val="32"/>
          <w:szCs w:val="32"/>
          <w:shd w:val="clear" w:color="auto" w:fill="FFFFFF"/>
          <w:lang w:val="zh-CN"/>
        </w:rPr>
        <w:t>广元市档案馆为市委直属参公事业单位，</w:t>
      </w:r>
      <w:r>
        <w:rPr>
          <w:rFonts w:hint="eastAsia" w:ascii="仿宋_GB2312" w:hAnsi="仿宋_GB2312" w:eastAsia="仿宋_GB2312" w:cs="仿宋_GB2312"/>
          <w:color w:val="000000"/>
          <w:kern w:val="0"/>
          <w:sz w:val="32"/>
          <w:szCs w:val="32"/>
        </w:rPr>
        <w:t>内设一室六科</w:t>
      </w:r>
      <w:r>
        <w:rPr>
          <w:rFonts w:hint="eastAsia" w:ascii="仿宋_GB2312" w:hAnsi="仿宋_GB2312" w:eastAsia="仿宋_GB2312" w:cs="仿宋_GB2312"/>
          <w:color w:val="000000"/>
          <w:kern w:val="0"/>
          <w:sz w:val="32"/>
          <w:szCs w:val="32"/>
          <w:lang w:eastAsia="zh-CN"/>
        </w:rPr>
        <w:t>，即办公室、接收征集科、保管保护科、编研开发科、宣传文化科、服务利用科、信息技术科。</w:t>
      </w:r>
      <w:r>
        <w:rPr>
          <w:rFonts w:hint="eastAsia" w:ascii="仿宋_GB2312" w:hAnsi="仿宋_GB2312" w:eastAsia="仿宋_GB2312" w:cs="仿宋_GB2312"/>
          <w:color w:val="000000"/>
          <w:kern w:val="0"/>
          <w:sz w:val="32"/>
          <w:szCs w:val="32"/>
          <w:shd w:val="clear" w:color="auto" w:fill="FFFFFF"/>
          <w:lang w:val="zh-CN"/>
        </w:rPr>
        <w:t>代管</w:t>
      </w:r>
      <w:r>
        <w:rPr>
          <w:rFonts w:hint="eastAsia" w:ascii="仿宋_GB2312" w:hAnsi="仿宋_GB2312" w:eastAsia="仿宋_GB2312" w:cs="仿宋_GB2312"/>
          <w:color w:val="000000"/>
          <w:kern w:val="0"/>
          <w:sz w:val="32"/>
          <w:szCs w:val="32"/>
          <w:shd w:val="clear" w:color="auto" w:fill="FFFFFF"/>
          <w:lang w:val="en-US" w:eastAsia="zh-CN"/>
        </w:rPr>
        <w:t>市现行文件服务中心，未独立核算。</w:t>
      </w:r>
    </w:p>
    <w:p>
      <w:pPr>
        <w:keepNext w:val="0"/>
        <w:keepLines w:val="0"/>
        <w:pageBreakBefore w:val="0"/>
        <w:widowControl w:val="0"/>
        <w:numPr>
          <w:ilvl w:val="0"/>
          <w:numId w:val="0"/>
        </w:numPr>
        <w:kinsoku/>
        <w:wordWrap/>
        <w:overflowPunct w:val="0"/>
        <w:topLinePunct w:val="0"/>
        <w:autoSpaceDE/>
        <w:autoSpaceDN/>
        <w:bidi w:val="0"/>
        <w:spacing w:line="576" w:lineRule="exact"/>
        <w:ind w:left="0" w:leftChars="0" w:firstLine="640" w:firstLineChars="200"/>
        <w:textAlignment w:val="auto"/>
        <w:rPr>
          <w:rFonts w:hint="default" w:ascii="仿宋_GB2312" w:hAnsi="仿宋_GB2312" w:eastAsia="仿宋_GB2312" w:cs="仿宋_GB2312"/>
          <w:color w:val="000000"/>
          <w:kern w:val="0"/>
          <w:sz w:val="32"/>
          <w:szCs w:val="32"/>
          <w:shd w:val="clear" w:color="auto" w:fill="FFFFFF"/>
          <w:lang w:val="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（二）机构职能</w:t>
      </w:r>
      <w:r>
        <w:rPr>
          <w:rFonts w:hint="eastAsia" w:eastAsia="楷体_GB2312" w:cs="Times New Roman"/>
          <w:b w:val="0"/>
          <w:bCs w:val="0"/>
          <w:color w:val="000000"/>
          <w:kern w:val="0"/>
          <w:sz w:val="32"/>
          <w:szCs w:val="32"/>
          <w:highlight w:val="none"/>
          <w:shd w:val="clear" w:color="auto" w:fill="FFFFFF"/>
          <w:lang w:val="zh-CN"/>
        </w:rPr>
        <w:t>。</w:t>
      </w:r>
      <w:r>
        <w:rPr>
          <w:rFonts w:hint="eastAsia" w:ascii="楷体_GB2312" w:hAnsi="楷体_GB2312" w:eastAsia="楷体_GB2312" w:cs="楷体_GB2312"/>
          <w:b w:val="0"/>
          <w:bCs w:val="0"/>
          <w:sz w:val="32"/>
          <w:szCs w:val="32"/>
        </w:rPr>
        <w:t>贯</w:t>
      </w:r>
      <w:r>
        <w:rPr>
          <w:rFonts w:hint="eastAsia" w:ascii="仿宋_GB2312" w:hAnsi="仿宋_GB2312" w:eastAsia="仿宋_GB2312" w:cs="仿宋_GB2312"/>
          <w:color w:val="000000"/>
          <w:kern w:val="0"/>
          <w:sz w:val="32"/>
          <w:szCs w:val="32"/>
          <w:shd w:val="clear" w:color="auto" w:fill="FFFFFF"/>
          <w:lang w:val="zh-CN"/>
        </w:rPr>
        <w:t>彻落实党的路线方针政策和有关档案管理的法律、法规、规章制度，做好档案“收、管、用”，维护档案完整与安全，保守党和国家秘密。依法接收市级各机关、团体、事业单位、国有企业及其下属单位的档案；</w:t>
      </w:r>
      <w:r>
        <w:rPr>
          <w:rFonts w:hint="eastAsia" w:ascii="仿宋_GB2312" w:hAnsi="仿宋_GB2312" w:eastAsia="仿宋_GB2312" w:cs="仿宋_GB2312"/>
          <w:color w:val="000000"/>
          <w:kern w:val="0"/>
          <w:sz w:val="32"/>
          <w:szCs w:val="32"/>
          <w:shd w:val="clear" w:color="auto" w:fill="FFFFFF"/>
          <w:lang w:val="zh-CN" w:eastAsia="zh-CN"/>
        </w:rPr>
        <w:t>接收</w:t>
      </w:r>
      <w:r>
        <w:rPr>
          <w:rFonts w:hint="eastAsia" w:ascii="仿宋_GB2312" w:hAnsi="仿宋_GB2312" w:eastAsia="仿宋_GB2312" w:cs="仿宋_GB2312"/>
          <w:color w:val="000000"/>
          <w:kern w:val="0"/>
          <w:sz w:val="32"/>
          <w:szCs w:val="32"/>
          <w:shd w:val="clear" w:color="auto" w:fill="FFFFFF"/>
          <w:lang w:val="zh-CN"/>
        </w:rPr>
        <w:t>市级重大活动等形成的档案；征集对国家和社会具有长久保存价值的重要档案</w:t>
      </w:r>
      <w:r>
        <w:rPr>
          <w:rFonts w:hint="eastAsia" w:ascii="仿宋_GB2312" w:hAnsi="仿宋_GB2312" w:eastAsia="仿宋_GB2312" w:cs="仿宋_GB2312"/>
          <w:color w:val="000000"/>
          <w:kern w:val="0"/>
          <w:sz w:val="32"/>
          <w:szCs w:val="32"/>
          <w:shd w:val="clear" w:color="auto" w:fill="FFFFFF"/>
          <w:lang w:val="zh-CN" w:eastAsia="zh-CN"/>
        </w:rPr>
        <w:t>、</w:t>
      </w:r>
      <w:r>
        <w:rPr>
          <w:rFonts w:hint="eastAsia" w:ascii="仿宋_GB2312" w:hAnsi="仿宋_GB2312" w:eastAsia="仿宋_GB2312" w:cs="仿宋_GB2312"/>
          <w:color w:val="000000"/>
          <w:kern w:val="0"/>
          <w:sz w:val="32"/>
          <w:szCs w:val="32"/>
          <w:shd w:val="clear" w:color="auto" w:fill="FFFFFF"/>
          <w:lang w:val="zh-CN"/>
        </w:rPr>
        <w:t>资料，开展主动建档存史工作。组织实施馆藏档案整理、鉴定、保管、保护、解密、划控、开放和销毁工作。负责馆藏档案信息化，</w:t>
      </w:r>
      <w:r>
        <w:rPr>
          <w:rFonts w:hint="eastAsia" w:ascii="仿宋_GB2312" w:hAnsi="仿宋_GB2312" w:eastAsia="仿宋_GB2312" w:cs="仿宋_GB2312"/>
          <w:color w:val="000000"/>
          <w:kern w:val="0"/>
          <w:sz w:val="32"/>
          <w:szCs w:val="32"/>
          <w:shd w:val="clear" w:color="auto" w:fill="FFFFFF"/>
          <w:lang w:val="zh-CN" w:eastAsia="zh-CN"/>
        </w:rPr>
        <w:t>推动</w:t>
      </w:r>
      <w:r>
        <w:rPr>
          <w:rFonts w:hint="eastAsia" w:ascii="仿宋_GB2312" w:hAnsi="仿宋_GB2312" w:eastAsia="仿宋_GB2312" w:cs="仿宋_GB2312"/>
          <w:color w:val="000000"/>
          <w:kern w:val="0"/>
          <w:sz w:val="32"/>
          <w:szCs w:val="32"/>
          <w:shd w:val="clear" w:color="auto" w:fill="FFFFFF"/>
          <w:lang w:val="zh-CN"/>
        </w:rPr>
        <w:t>数字档案馆和市级档案</w:t>
      </w:r>
      <w:r>
        <w:rPr>
          <w:rFonts w:hint="eastAsia" w:ascii="仿宋_GB2312" w:hAnsi="仿宋_GB2312" w:eastAsia="仿宋_GB2312" w:cs="仿宋_GB2312"/>
          <w:color w:val="000000"/>
          <w:kern w:val="0"/>
          <w:sz w:val="32"/>
          <w:szCs w:val="32"/>
          <w:shd w:val="clear" w:color="auto" w:fill="FFFFFF"/>
          <w:lang w:val="zh-CN" w:eastAsia="zh-CN"/>
        </w:rPr>
        <w:t>、</w:t>
      </w:r>
      <w:r>
        <w:rPr>
          <w:rFonts w:hint="eastAsia" w:ascii="仿宋_GB2312" w:hAnsi="仿宋_GB2312" w:eastAsia="仿宋_GB2312" w:cs="仿宋_GB2312"/>
          <w:color w:val="000000"/>
          <w:kern w:val="0"/>
          <w:sz w:val="32"/>
          <w:szCs w:val="32"/>
          <w:shd w:val="clear" w:color="auto" w:fill="FFFFFF"/>
          <w:lang w:val="zh-CN"/>
        </w:rPr>
        <w:t>资料目录中心建设，依法接收电子档案，建立电子文件备份中心，</w:t>
      </w:r>
      <w:r>
        <w:rPr>
          <w:rFonts w:hint="eastAsia" w:ascii="仿宋_GB2312" w:hAnsi="仿宋_GB2312" w:eastAsia="仿宋_GB2312" w:cs="仿宋_GB2312"/>
          <w:color w:val="000000"/>
          <w:kern w:val="0"/>
          <w:sz w:val="32"/>
          <w:szCs w:val="32"/>
          <w:shd w:val="clear" w:color="auto" w:fill="FFFFFF"/>
          <w:lang w:val="zh-CN" w:eastAsia="zh-CN"/>
        </w:rPr>
        <w:t>确保</w:t>
      </w:r>
      <w:r>
        <w:rPr>
          <w:rFonts w:hint="eastAsia" w:ascii="仿宋_GB2312" w:hAnsi="仿宋_GB2312" w:eastAsia="仿宋_GB2312" w:cs="仿宋_GB2312"/>
          <w:color w:val="000000"/>
          <w:kern w:val="0"/>
          <w:sz w:val="32"/>
          <w:szCs w:val="32"/>
          <w:shd w:val="clear" w:color="auto" w:fill="FFFFFF"/>
          <w:lang w:val="zh-CN"/>
        </w:rPr>
        <w:t>数字档案资源安全。开展档案利用工作，依法向社会提供档案</w:t>
      </w:r>
      <w:r>
        <w:rPr>
          <w:rFonts w:hint="eastAsia" w:ascii="仿宋_GB2312" w:hAnsi="仿宋_GB2312" w:eastAsia="仿宋_GB2312" w:cs="仿宋_GB2312"/>
          <w:color w:val="000000"/>
          <w:kern w:val="0"/>
          <w:sz w:val="32"/>
          <w:szCs w:val="32"/>
          <w:shd w:val="clear" w:color="auto" w:fill="FFFFFF"/>
          <w:lang w:val="zh-CN" w:eastAsia="zh-CN"/>
        </w:rPr>
        <w:t>、</w:t>
      </w:r>
      <w:r>
        <w:rPr>
          <w:rFonts w:hint="eastAsia" w:ascii="仿宋_GB2312" w:hAnsi="仿宋_GB2312" w:eastAsia="仿宋_GB2312" w:cs="仿宋_GB2312"/>
          <w:color w:val="000000"/>
          <w:kern w:val="0"/>
          <w:sz w:val="32"/>
          <w:szCs w:val="32"/>
          <w:shd w:val="clear" w:color="auto" w:fill="FFFFFF"/>
          <w:lang w:val="zh-CN"/>
        </w:rPr>
        <w:t>资料和已公开的现行文件，开展民生档案等跨馆查档服务。负责馆藏档案资源开发工作，开展档案资政服务，编研档案史料，开发档案文化产品，举办档案展览，建设管理爱国主义教育基地，开展档案社会宣传教育。</w:t>
      </w:r>
      <w:r>
        <w:rPr>
          <w:rFonts w:hint="eastAsia" w:ascii="仿宋_GB2312" w:hAnsi="仿宋_GB2312" w:eastAsia="仿宋_GB2312" w:cs="仿宋_GB2312"/>
          <w:color w:val="000000"/>
          <w:kern w:val="0"/>
          <w:sz w:val="32"/>
          <w:szCs w:val="32"/>
          <w:shd w:val="clear" w:color="auto" w:fill="FFFFFF"/>
          <w:lang w:val="zh-CN" w:eastAsia="zh-CN"/>
        </w:rPr>
        <w:t>对县（区）档案馆业务进行指导。</w:t>
      </w:r>
      <w:r>
        <w:rPr>
          <w:rFonts w:hint="eastAsia" w:ascii="仿宋_GB2312" w:hAnsi="仿宋_GB2312" w:eastAsia="仿宋_GB2312" w:cs="仿宋_GB2312"/>
          <w:color w:val="000000"/>
          <w:kern w:val="0"/>
          <w:sz w:val="32"/>
          <w:szCs w:val="32"/>
          <w:shd w:val="clear" w:color="auto" w:fill="FFFFFF"/>
          <w:lang w:val="zh-CN"/>
        </w:rPr>
        <w:t>组织开展档案学术研究、馆际合作和业务交流。完成市委、市政府交办的其他任务。</w:t>
      </w:r>
    </w:p>
    <w:p>
      <w:pPr>
        <w:keepNext w:val="0"/>
        <w:keepLines w:val="0"/>
        <w:pageBreakBefore w:val="0"/>
        <w:widowControl w:val="0"/>
        <w:kinsoku/>
        <w:wordWrap/>
        <w:overflowPunct w:val="0"/>
        <w:topLinePunct w:val="0"/>
        <w:autoSpaceDE/>
        <w:autoSpaceDN/>
        <w:bidi w:val="0"/>
        <w:snapToGrid w:val="0"/>
        <w:spacing w:line="576" w:lineRule="exact"/>
        <w:ind w:left="0" w:leftChars="0" w:firstLine="640" w:firstLineChars="200"/>
        <w:textAlignment w:val="auto"/>
        <w:rPr>
          <w:rFonts w:hint="default" w:ascii="Times New Roman" w:hAnsi="Times New Roman" w:cs="Times New Roman"/>
          <w:b w:val="0"/>
          <w:bCs w:val="0"/>
          <w:sz w:val="32"/>
          <w:szCs w:val="32"/>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eastAsia="楷体_GB2312" w:cs="Times New Roman"/>
          <w:b w:val="0"/>
          <w:bCs w:val="0"/>
          <w:color w:val="000000"/>
          <w:kern w:val="0"/>
          <w:sz w:val="32"/>
          <w:szCs w:val="32"/>
          <w:highlight w:val="none"/>
          <w:shd w:val="clear" w:color="auto" w:fill="FFFFFF"/>
          <w:lang w:val="zh-CN"/>
        </w:rPr>
        <w:t>三</w:t>
      </w:r>
      <w:r>
        <w:rPr>
          <w:rFonts w:hint="default" w:ascii="Times New Roman" w:hAnsi="Times New Roman" w:eastAsia="楷体_GB2312" w:cs="Times New Roman"/>
          <w:b w:val="0"/>
          <w:bCs w:val="0"/>
          <w:color w:val="000000"/>
          <w:kern w:val="0"/>
          <w:sz w:val="32"/>
          <w:szCs w:val="32"/>
          <w:highlight w:val="none"/>
          <w:shd w:val="clear" w:color="auto" w:fill="FFFFFF"/>
          <w:lang w:val="zh-CN"/>
        </w:rPr>
        <w:t>）人员概况</w:t>
      </w:r>
      <w:r>
        <w:rPr>
          <w:rFonts w:hint="eastAsia" w:eastAsia="楷体_GB2312" w:cs="Times New Roman"/>
          <w:b w:val="0"/>
          <w:bCs w:val="0"/>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shd w:val="clear" w:color="auto" w:fill="FFFFFF"/>
          <w:lang w:val="zh-CN"/>
        </w:rPr>
        <w:t>广元市档案馆参公事业编制数</w:t>
      </w:r>
      <w:r>
        <w:rPr>
          <w:rFonts w:hint="eastAsia" w:ascii="仿宋_GB2312" w:hAnsi="仿宋_GB2312" w:eastAsia="仿宋_GB2312" w:cs="仿宋_GB2312"/>
          <w:color w:val="000000"/>
          <w:kern w:val="0"/>
          <w:sz w:val="32"/>
          <w:szCs w:val="32"/>
          <w:shd w:val="clear" w:color="auto" w:fill="FFFFFF"/>
          <w:lang w:val="en-US" w:eastAsia="zh-CN"/>
        </w:rPr>
        <w:t>22个，工勤事业编制数2个，代管单位市现行文件服务中心事业编制数8个。</w:t>
      </w:r>
      <w:r>
        <w:rPr>
          <w:rFonts w:hint="eastAsia" w:ascii="仿宋_GB2312" w:hAnsi="仿宋_GB2312" w:eastAsia="仿宋_GB2312" w:cs="仿宋_GB2312"/>
          <w:color w:val="000000"/>
          <w:kern w:val="0"/>
          <w:sz w:val="32"/>
          <w:szCs w:val="32"/>
          <w:shd w:val="clear" w:color="auto" w:fill="FFFFFF"/>
          <w:lang w:val="zh-CN" w:eastAsia="zh-CN"/>
        </w:rPr>
        <w:t>截至</w:t>
      </w:r>
      <w:r>
        <w:rPr>
          <w:rFonts w:hint="eastAsia" w:ascii="仿宋_GB2312" w:hAnsi="仿宋_GB2312" w:eastAsia="仿宋_GB2312" w:cs="仿宋_GB2312"/>
          <w:color w:val="000000"/>
          <w:kern w:val="0"/>
          <w:sz w:val="32"/>
          <w:szCs w:val="32"/>
          <w:shd w:val="clear" w:color="auto" w:fill="FFFFFF"/>
          <w:lang w:val="en-US" w:eastAsia="zh-CN"/>
        </w:rPr>
        <w:t>2024年末，</w:t>
      </w:r>
      <w:r>
        <w:rPr>
          <w:rFonts w:hint="eastAsia" w:ascii="仿宋_GB2312" w:hAnsi="仿宋_GB2312" w:eastAsia="仿宋_GB2312" w:cs="仿宋_GB2312"/>
          <w:color w:val="000000"/>
          <w:kern w:val="0"/>
          <w:sz w:val="32"/>
          <w:szCs w:val="32"/>
          <w:shd w:val="clear" w:color="auto" w:fill="FFFFFF"/>
          <w:lang w:val="zh-CN"/>
        </w:rPr>
        <w:t>实</w:t>
      </w:r>
      <w:r>
        <w:rPr>
          <w:rFonts w:hint="eastAsia" w:ascii="仿宋_GB2312" w:hAnsi="仿宋_GB2312" w:eastAsia="仿宋_GB2312" w:cs="仿宋_GB2312"/>
          <w:color w:val="000000"/>
          <w:kern w:val="0"/>
          <w:sz w:val="32"/>
          <w:szCs w:val="32"/>
          <w:shd w:val="clear" w:color="auto" w:fill="FFFFFF"/>
          <w:lang w:val="zh-CN" w:eastAsia="zh-CN"/>
        </w:rPr>
        <w:t>有</w:t>
      </w:r>
      <w:r>
        <w:rPr>
          <w:rFonts w:hint="eastAsia" w:ascii="仿宋_GB2312" w:hAnsi="仿宋_GB2312" w:eastAsia="仿宋_GB2312" w:cs="仿宋_GB2312"/>
          <w:color w:val="000000"/>
          <w:kern w:val="0"/>
          <w:sz w:val="32"/>
          <w:szCs w:val="32"/>
          <w:shd w:val="clear" w:color="auto" w:fill="FFFFFF"/>
          <w:lang w:val="zh-CN"/>
        </w:rPr>
        <w:t>在职人员</w:t>
      </w:r>
      <w:r>
        <w:rPr>
          <w:rFonts w:hint="eastAsia" w:ascii="仿宋_GB2312" w:hAnsi="仿宋_GB2312" w:eastAsia="仿宋_GB2312" w:cs="仿宋_GB2312"/>
          <w:color w:val="000000"/>
          <w:kern w:val="0"/>
          <w:sz w:val="32"/>
          <w:szCs w:val="32"/>
          <w:shd w:val="clear" w:color="auto" w:fill="FFFFFF"/>
          <w:lang w:val="en-US" w:eastAsia="zh-CN"/>
        </w:rPr>
        <w:t>30</w:t>
      </w:r>
      <w:r>
        <w:rPr>
          <w:rFonts w:hint="eastAsia" w:ascii="仿宋_GB2312" w:hAnsi="仿宋_GB2312" w:eastAsia="仿宋_GB2312" w:cs="仿宋_GB2312"/>
          <w:color w:val="000000"/>
          <w:kern w:val="0"/>
          <w:sz w:val="32"/>
          <w:szCs w:val="32"/>
          <w:shd w:val="clear" w:color="auto" w:fill="FFFFFF"/>
          <w:lang w:val="zh-CN"/>
        </w:rPr>
        <w:t>人，</w:t>
      </w:r>
      <w:r>
        <w:rPr>
          <w:rFonts w:hint="eastAsia" w:ascii="仿宋_GB2312" w:hAnsi="仿宋_GB2312" w:eastAsia="仿宋_GB2312" w:cs="仿宋_GB2312"/>
          <w:color w:val="000000"/>
          <w:kern w:val="0"/>
          <w:sz w:val="32"/>
          <w:szCs w:val="32"/>
          <w:shd w:val="clear" w:color="auto" w:fill="FFFFFF"/>
          <w:lang w:val="en-US" w:eastAsia="zh-CN"/>
        </w:rPr>
        <w:t>其中参公事业人员21人，其他事业人员8人，工勤人员1人。</w:t>
      </w:r>
    </w:p>
    <w:p>
      <w:pPr>
        <w:keepNext w:val="0"/>
        <w:keepLines w:val="0"/>
        <w:pageBreakBefore w:val="0"/>
        <w:widowControl w:val="0"/>
        <w:kinsoku/>
        <w:wordWrap/>
        <w:overflowPunct w:val="0"/>
        <w:topLinePunct w:val="0"/>
        <w:autoSpaceDE/>
        <w:autoSpaceDN/>
        <w:bidi w:val="0"/>
        <w:adjustRightInd w:val="0"/>
        <w:snapToGrid w:val="0"/>
        <w:spacing w:line="576" w:lineRule="exact"/>
        <w:ind w:leftChars="0" w:firstLine="640" w:firstLineChars="200"/>
        <w:contextualSpacing/>
        <w:jc w:val="left"/>
        <w:textAlignment w:val="auto"/>
        <w:outlineLvl w:val="9"/>
        <w:rPr>
          <w:rFonts w:hint="default" w:ascii="Times New Roman" w:hAnsi="Times New Roman" w:eastAsia="黑体" w:cs="Times New Roman"/>
          <w:b w:val="0"/>
          <w:bCs w:val="0"/>
          <w:color w:val="000000"/>
          <w:kern w:val="0"/>
          <w:sz w:val="32"/>
          <w:szCs w:val="32"/>
          <w:highlight w:val="none"/>
          <w:shd w:val="clear" w:color="auto" w:fill="FFFFFF"/>
        </w:rPr>
      </w:pPr>
      <w:r>
        <w:rPr>
          <w:rFonts w:hint="default" w:ascii="Times New Roman" w:hAnsi="Times New Roman" w:eastAsia="黑体" w:cs="Times New Roman"/>
          <w:b w:val="0"/>
          <w:bCs w:val="0"/>
          <w:color w:val="000000"/>
          <w:kern w:val="0"/>
          <w:sz w:val="32"/>
          <w:szCs w:val="32"/>
          <w:highlight w:val="none"/>
          <w:shd w:val="clear" w:color="auto" w:fill="FFFFFF"/>
        </w:rPr>
        <w:t>二、</w:t>
      </w:r>
      <w:r>
        <w:rPr>
          <w:rFonts w:hint="default" w:ascii="Times New Roman" w:hAnsi="Times New Roman" w:eastAsia="黑体" w:cs="Times New Roman"/>
          <w:b w:val="0"/>
          <w:bCs w:val="0"/>
          <w:color w:val="000000"/>
          <w:kern w:val="0"/>
          <w:sz w:val="32"/>
          <w:szCs w:val="32"/>
          <w:highlight w:val="none"/>
          <w:shd w:val="clear" w:color="auto" w:fill="FFFFFF"/>
          <w:lang w:eastAsia="zh-CN"/>
        </w:rPr>
        <w:t>部门</w:t>
      </w:r>
      <w:r>
        <w:rPr>
          <w:rFonts w:hint="default" w:ascii="Times New Roman" w:hAnsi="Times New Roman" w:eastAsia="黑体" w:cs="Times New Roman"/>
          <w:b w:val="0"/>
          <w:bCs w:val="0"/>
          <w:color w:val="000000"/>
          <w:kern w:val="0"/>
          <w:sz w:val="32"/>
          <w:szCs w:val="32"/>
          <w:highlight w:val="none"/>
          <w:shd w:val="clear" w:color="auto" w:fill="FFFFFF"/>
        </w:rPr>
        <w:t>资金收支情况</w:t>
      </w:r>
    </w:p>
    <w:p>
      <w:pPr>
        <w:keepNext w:val="0"/>
        <w:keepLines w:val="0"/>
        <w:pageBreakBefore w:val="0"/>
        <w:widowControl w:val="0"/>
        <w:kinsoku/>
        <w:wordWrap/>
        <w:overflowPunct w:val="0"/>
        <w:topLinePunct w:val="0"/>
        <w:autoSpaceDE/>
        <w:autoSpaceDN/>
        <w:bidi w:val="0"/>
        <w:adjustRightInd w:val="0"/>
        <w:snapToGrid w:val="0"/>
        <w:spacing w:line="576" w:lineRule="exact"/>
        <w:ind w:leftChars="0" w:firstLine="640" w:firstLineChars="200"/>
        <w:contextualSpacing/>
        <w:jc w:val="left"/>
        <w:textAlignment w:val="auto"/>
        <w:outlineLvl w:val="9"/>
        <w:rPr>
          <w:rFonts w:hint="default" w:ascii="仿宋_GB2312" w:hAnsi="仿宋_GB2312" w:eastAsia="仿宋_GB2312" w:cs="仿宋_GB2312"/>
          <w:color w:val="000000"/>
          <w:kern w:val="0"/>
          <w:sz w:val="32"/>
          <w:szCs w:val="32"/>
          <w:shd w:val="clear" w:color="auto" w:fill="FFFFFF"/>
          <w:lang w:val="en-US"/>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（一）</w:t>
      </w:r>
      <w:r>
        <w:rPr>
          <w:rFonts w:hint="eastAsia" w:eastAsia="楷体_GB2312" w:cs="Times New Roman"/>
          <w:b w:val="0"/>
          <w:bCs w:val="0"/>
          <w:color w:val="000000"/>
          <w:kern w:val="0"/>
          <w:sz w:val="32"/>
          <w:szCs w:val="32"/>
          <w:highlight w:val="none"/>
          <w:shd w:val="clear" w:color="auto" w:fill="FFFFFF"/>
          <w:lang w:val="zh-CN"/>
        </w:rPr>
        <w:t>收入情况</w:t>
      </w: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shd w:val="clear" w:color="auto" w:fill="FFFFFF"/>
          <w:lang w:val="en-US" w:eastAsia="zh-CN"/>
        </w:rPr>
        <w:t>广元市档案馆2024年年初预算收入合计768.96万元，决算报表收入合计856.47万元，均为一般公共预算财政拨款收入。</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eastAsia="楷体_GB2312" w:cs="Times New Roman"/>
          <w:b w:val="0"/>
          <w:bCs w:val="0"/>
          <w:color w:val="000000"/>
          <w:kern w:val="0"/>
          <w:sz w:val="32"/>
          <w:szCs w:val="32"/>
          <w:highlight w:val="none"/>
          <w:shd w:val="clear" w:color="auto" w:fill="FFFFFF"/>
          <w:lang w:val="zh-CN"/>
        </w:rPr>
        <w:t>二</w:t>
      </w: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eastAsia="楷体_GB2312" w:cs="Times New Roman"/>
          <w:b w:val="0"/>
          <w:bCs w:val="0"/>
          <w:color w:val="000000"/>
          <w:kern w:val="0"/>
          <w:sz w:val="32"/>
          <w:szCs w:val="32"/>
          <w:highlight w:val="none"/>
          <w:shd w:val="clear" w:color="auto" w:fill="FFFFFF"/>
          <w:lang w:val="zh-CN"/>
        </w:rPr>
        <w:t>支出情况</w:t>
      </w: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shd w:val="clear" w:color="auto" w:fill="FFFFFF"/>
          <w:lang w:val="en-US" w:eastAsia="zh-CN"/>
        </w:rPr>
        <w:t>广元市档案馆2024年年初预算支出合计768.96万元，其中：基本支出678.60万元，项目支出90.36万元。决算报表支出合计856.47万元，其中：基本支出695.67万元，项目支出160.80万元。2024年，我馆收集习近平总书记历次来广视察档案资料82件。持续推进数字档案馆建设，完成数字资源质量提升项目，共扫描档案4万余卷、321万页，著录目录68万余条。全年共接收20家立档单位各门类、载体档案3千余卷9.9万余件。征集“三线建设”等有关档案资料160余件，接收广元籍首批海军退役老兵捐赠实物档案51件，收集市交通运输局等单位图书资料560余册。按计划完成馆藏26个全宗档案的开放审核工作，共开放档案12万余件。成功承办四川省综合档案馆档案开放审核工作培训会。精心谋划编辑并公开出版《广元珍档》，被评为广元市首届社科成果一等奖；创新编纂《兰台春秋话广元》。深入开展“6·9”国际档案日活动，承办“江河奔腾 红色追寻”—长江黄河流域红色珍档联展广元巡展，拍摄《中国（广元）女儿节》在“学习强国”等平台展播。积极推进全市8个国家综合档案馆信息资源共享，深入推进档案助企惠民，积极助力全市营商环境提升，全年接待查档群众3602人次，调阅档案15056件，提供档案复印件6895张。与汉中市、陇南市档案馆签订民生档案跨馆利用协议，通过全国档案查询平台办理查询事项11件，开展民生档案异地跨馆查档服务1102例。赴河南省鹤壁市档案馆异地异质备份数据16TB、1800余万页。</w:t>
      </w:r>
    </w:p>
    <w:p>
      <w:pPr>
        <w:keepNext w:val="0"/>
        <w:keepLines w:val="0"/>
        <w:pageBreakBefore w:val="0"/>
        <w:widowControl w:val="0"/>
        <w:kinsoku/>
        <w:wordWrap/>
        <w:overflowPunct w:val="0"/>
        <w:topLinePunct w:val="0"/>
        <w:autoSpaceDE/>
        <w:autoSpaceDN/>
        <w:bidi w:val="0"/>
        <w:adjustRightInd w:val="0"/>
        <w:snapToGrid w:val="0"/>
        <w:spacing w:line="576" w:lineRule="exact"/>
        <w:ind w:leftChars="0" w:firstLine="640" w:firstLineChars="200"/>
        <w:contextualSpacing/>
        <w:jc w:val="left"/>
        <w:textAlignment w:val="auto"/>
        <w:outlineLvl w:val="9"/>
        <w:rPr>
          <w:rFonts w:hint="default" w:ascii="仿宋_GB2312" w:hAnsi="仿宋_GB2312" w:eastAsia="仿宋_GB2312" w:cs="仿宋_GB2312"/>
          <w:color w:val="000000"/>
          <w:kern w:val="0"/>
          <w:sz w:val="32"/>
          <w:szCs w:val="32"/>
          <w:shd w:val="clear" w:color="auto" w:fill="FFFFFF"/>
          <w:lang w:val="zh-CN"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eastAsia="楷体_GB2312" w:cs="Times New Roman"/>
          <w:b w:val="0"/>
          <w:bCs w:val="0"/>
          <w:color w:val="000000"/>
          <w:kern w:val="0"/>
          <w:sz w:val="32"/>
          <w:szCs w:val="32"/>
          <w:highlight w:val="none"/>
          <w:shd w:val="clear" w:color="auto" w:fill="FFFFFF"/>
          <w:lang w:val="zh-CN"/>
        </w:rPr>
        <w:t>三</w:t>
      </w: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eastAsia="楷体_GB2312" w:cs="Times New Roman"/>
          <w:b w:val="0"/>
          <w:bCs w:val="0"/>
          <w:color w:val="000000"/>
          <w:kern w:val="0"/>
          <w:sz w:val="32"/>
          <w:szCs w:val="32"/>
          <w:highlight w:val="none"/>
          <w:shd w:val="clear" w:color="auto" w:fill="FFFFFF"/>
          <w:lang w:val="zh-CN"/>
        </w:rPr>
        <w:t>结余分配和</w:t>
      </w:r>
      <w:r>
        <w:rPr>
          <w:rFonts w:hint="default" w:ascii="Times New Roman" w:hAnsi="Times New Roman" w:eastAsia="楷体_GB2312" w:cs="Times New Roman"/>
          <w:b w:val="0"/>
          <w:bCs w:val="0"/>
          <w:sz w:val="32"/>
          <w:szCs w:val="32"/>
        </w:rPr>
        <w:t>结转结余情况</w:t>
      </w:r>
      <w:r>
        <w:rPr>
          <w:rFonts w:hint="eastAsia" w:ascii="Times New Roman" w:hAnsi="Times New Roman" w:eastAsia="楷体_GB2312" w:cs="Times New Roman"/>
          <w:b w:val="0"/>
          <w:bCs w:val="0"/>
          <w:sz w:val="32"/>
          <w:szCs w:val="32"/>
          <w:lang w:eastAsia="zh-CN"/>
        </w:rPr>
        <w:t>。</w:t>
      </w:r>
      <w:r>
        <w:rPr>
          <w:rFonts w:hint="eastAsia" w:ascii="仿宋_GB2312" w:hAnsi="仿宋_GB2312" w:eastAsia="仿宋_GB2312" w:cs="仿宋_GB2312"/>
          <w:color w:val="000000"/>
          <w:kern w:val="0"/>
          <w:sz w:val="32"/>
          <w:szCs w:val="32"/>
          <w:shd w:val="clear" w:color="auto" w:fill="FFFFFF"/>
          <w:lang w:val="en-US" w:eastAsia="zh-CN"/>
        </w:rPr>
        <w:t>广元市档案馆2024年决算报表无结转结余</w:t>
      </w:r>
      <w:r>
        <w:rPr>
          <w:rFonts w:hint="default" w:ascii="仿宋_GB2312" w:hAnsi="仿宋_GB2312" w:eastAsia="仿宋_GB2312" w:cs="仿宋_GB2312"/>
          <w:color w:val="000000"/>
          <w:kern w:val="0"/>
          <w:sz w:val="32"/>
          <w:szCs w:val="32"/>
          <w:shd w:val="clear" w:color="auto" w:fill="FFFFFF"/>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leftChars="0" w:firstLine="640" w:firstLineChars="200"/>
        <w:contextualSpacing/>
        <w:jc w:val="left"/>
        <w:textAlignment w:val="auto"/>
        <w:outlineLvl w:val="9"/>
        <w:rPr>
          <w:rFonts w:hint="default" w:ascii="Times New Roman" w:hAnsi="Times New Roman" w:eastAsia="黑体" w:cs="Times New Roman"/>
          <w:b w:val="0"/>
          <w:bCs w:val="0"/>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黑体" w:cs="Times New Roman"/>
          <w:b w:val="0"/>
          <w:bCs w:val="0"/>
          <w:color w:val="000000"/>
          <w:kern w:val="0"/>
          <w:sz w:val="32"/>
          <w:szCs w:val="32"/>
          <w:highlight w:val="none"/>
          <w:shd w:val="clear" w:color="auto" w:fill="FFFFFF"/>
        </w:rPr>
        <w:t>三、</w:t>
      </w:r>
      <w:r>
        <w:rPr>
          <w:rFonts w:hint="default" w:ascii="Times New Roman" w:hAnsi="Times New Roman" w:eastAsia="黑体" w:cs="Times New Roman"/>
          <w:b w:val="0"/>
          <w:bCs w:val="0"/>
          <w:color w:val="000000"/>
          <w:kern w:val="0"/>
          <w:sz w:val="32"/>
          <w:szCs w:val="32"/>
          <w:highlight w:val="none"/>
          <w:u w:val="none"/>
          <w:shd w:val="clear" w:color="auto" w:fill="FFFFFF"/>
        </w:rPr>
        <w:t>部门</w:t>
      </w:r>
      <w:r>
        <w:rPr>
          <w:rFonts w:hint="default" w:ascii="Times New Roman" w:hAnsi="Times New Roman" w:eastAsia="黑体" w:cs="Times New Roman"/>
          <w:b w:val="0"/>
          <w:bCs w:val="0"/>
          <w:color w:val="000000"/>
          <w:kern w:val="0"/>
          <w:sz w:val="32"/>
          <w:szCs w:val="32"/>
          <w:highlight w:val="none"/>
          <w:u w:val="none"/>
          <w:shd w:val="clear" w:color="auto" w:fill="FFFFFF"/>
          <w:lang w:eastAsia="zh-CN"/>
        </w:rPr>
        <w:t>预算</w:t>
      </w:r>
      <w:r>
        <w:rPr>
          <w:rFonts w:hint="default" w:ascii="Times New Roman" w:hAnsi="Times New Roman" w:eastAsia="黑体" w:cs="Times New Roman"/>
          <w:b w:val="0"/>
          <w:bCs w:val="0"/>
          <w:color w:val="000000"/>
          <w:kern w:val="0"/>
          <w:sz w:val="32"/>
          <w:szCs w:val="32"/>
          <w:highlight w:val="none"/>
          <w:u w:val="none"/>
          <w:shd w:val="clear" w:color="auto" w:fill="FFFFFF"/>
        </w:rPr>
        <w:t>绩效</w:t>
      </w:r>
      <w:r>
        <w:rPr>
          <w:rFonts w:hint="default" w:ascii="Times New Roman" w:hAnsi="Times New Roman" w:eastAsia="黑体" w:cs="Times New Roman"/>
          <w:b w:val="0"/>
          <w:bCs w:val="0"/>
          <w:color w:val="000000"/>
          <w:kern w:val="0"/>
          <w:sz w:val="32"/>
          <w:szCs w:val="32"/>
          <w:highlight w:val="none"/>
          <w:u w:val="none"/>
          <w:shd w:val="clear" w:color="auto" w:fill="FFFFFF"/>
          <w:lang w:eastAsia="zh-CN"/>
        </w:rPr>
        <w:t>分析</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firstLine="640" w:firstLineChars="200"/>
        <w:contextualSpacing/>
        <w:jc w:val="left"/>
        <w:textAlignment w:val="auto"/>
        <w:outlineLvl w:val="9"/>
        <w:rPr>
          <w:rFonts w:hint="default" w:ascii="Times New Roman" w:hAnsi="Times New Roman" w:eastAsia="楷体_GB2312" w:cs="Times New Roman"/>
          <w:b w:val="0"/>
          <w:b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（一）</w:t>
      </w:r>
      <w:r>
        <w:rPr>
          <w:rFonts w:hint="eastAsia" w:eastAsia="楷体_GB2312" w:cs="Times New Roman"/>
          <w:b w:val="0"/>
          <w:bCs w:val="0"/>
          <w:color w:val="000000"/>
          <w:kern w:val="0"/>
          <w:sz w:val="32"/>
          <w:szCs w:val="32"/>
          <w:highlight w:val="none"/>
          <w:shd w:val="clear" w:color="auto" w:fill="FFFFFF"/>
          <w:lang w:val="zh-CN"/>
        </w:rPr>
        <w:t>部门预算</w:t>
      </w:r>
      <w:r>
        <w:rPr>
          <w:rFonts w:hint="default" w:ascii="Times New Roman" w:hAnsi="Times New Roman" w:eastAsia="楷体_GB2312" w:cs="Times New Roman"/>
          <w:b w:val="0"/>
          <w:bCs w:val="0"/>
          <w:color w:val="000000"/>
          <w:kern w:val="0"/>
          <w:sz w:val="32"/>
          <w:szCs w:val="32"/>
          <w:highlight w:val="none"/>
          <w:shd w:val="clear" w:color="auto" w:fill="FFFFFF"/>
          <w:lang w:val="zh-CN"/>
        </w:rPr>
        <w:t>总体绩效分析。</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left"/>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1.</w:t>
      </w:r>
      <w:r>
        <w:rPr>
          <w:rFonts w:hint="eastAsia" w:ascii="仿宋_GB2312" w:hAnsi="仿宋_GB2312" w:eastAsia="仿宋_GB2312" w:cs="仿宋_GB2312"/>
          <w:color w:val="000000"/>
          <w:kern w:val="0"/>
          <w:sz w:val="32"/>
          <w:szCs w:val="32"/>
          <w:shd w:val="clear" w:color="auto" w:fill="FFFFFF"/>
          <w:lang w:val="zh-CN"/>
        </w:rPr>
        <w:t>履职效能。一是维护档案完整与安全</w:t>
      </w:r>
      <w:r>
        <w:rPr>
          <w:rFonts w:hint="eastAsia" w:ascii="仿宋_GB2312" w:hAnsi="仿宋_GB2312" w:eastAsia="仿宋_GB2312" w:cs="仿宋_GB2312"/>
          <w:color w:val="000000"/>
          <w:kern w:val="0"/>
          <w:sz w:val="32"/>
          <w:szCs w:val="32"/>
          <w:shd w:val="clear" w:color="auto" w:fill="FFFFFF"/>
          <w:lang w:val="zh-CN" w:eastAsia="zh-CN"/>
        </w:rPr>
        <w:t>履职效果。</w:t>
      </w:r>
      <w:r>
        <w:rPr>
          <w:rFonts w:hint="eastAsia" w:ascii="仿宋_GB2312" w:hAnsi="仿宋_GB2312" w:eastAsia="仿宋_GB2312" w:cs="仿宋_GB2312"/>
          <w:color w:val="000000"/>
          <w:kern w:val="0"/>
          <w:sz w:val="32"/>
          <w:szCs w:val="32"/>
          <w:shd w:val="clear" w:color="auto" w:fill="FFFFFF"/>
          <w:lang w:val="en-US" w:eastAsia="zh-CN"/>
        </w:rPr>
        <w:t>2024年共计开展3次安全检查，对档案库房、数据中心等档案安全重点部位进行消防设施设备全面检查，档案安全保护程度较高，得5分。二是</w:t>
      </w:r>
      <w:r>
        <w:rPr>
          <w:rFonts w:hint="eastAsia" w:ascii="仿宋_GB2312" w:hAnsi="仿宋_GB2312" w:eastAsia="仿宋_GB2312" w:cs="仿宋_GB2312"/>
          <w:color w:val="000000"/>
          <w:kern w:val="0"/>
          <w:sz w:val="32"/>
          <w:szCs w:val="32"/>
          <w:shd w:val="clear" w:color="auto" w:fill="FFFFFF"/>
          <w:lang w:val="zh-CN"/>
        </w:rPr>
        <w:t>开发档案文化产品</w:t>
      </w:r>
      <w:r>
        <w:rPr>
          <w:rFonts w:hint="eastAsia" w:ascii="仿宋_GB2312" w:hAnsi="仿宋_GB2312" w:eastAsia="仿宋_GB2312" w:cs="仿宋_GB2312"/>
          <w:color w:val="000000"/>
          <w:kern w:val="0"/>
          <w:sz w:val="32"/>
          <w:szCs w:val="32"/>
          <w:shd w:val="clear" w:color="auto" w:fill="FFFFFF"/>
          <w:lang w:val="zh-CN" w:eastAsia="zh-CN"/>
        </w:rPr>
        <w:t>履职效果。</w:t>
      </w:r>
      <w:r>
        <w:rPr>
          <w:rFonts w:hint="eastAsia" w:ascii="仿宋_GB2312" w:hAnsi="仿宋_GB2312" w:eastAsia="仿宋_GB2312" w:cs="仿宋_GB2312"/>
          <w:color w:val="000000"/>
          <w:kern w:val="0"/>
          <w:sz w:val="32"/>
          <w:szCs w:val="32"/>
          <w:shd w:val="clear" w:color="auto" w:fill="FFFFFF"/>
          <w:lang w:val="en-US" w:eastAsia="zh-CN"/>
        </w:rPr>
        <w:t>2024年公开出版《广元珍档》一书，创新编纂《兰台春秋话广元》，深入开展“6·9”国际档案日活动，承办“江河奔腾 红色追寻”—长江黄河流域红色珍档联展广元巡展，拍摄《中国（广元）女儿节》在“学习强国”等平台展播，档案开发利用程度较高，得5分。三是</w:t>
      </w:r>
      <w:r>
        <w:rPr>
          <w:rFonts w:hint="eastAsia" w:ascii="仿宋_GB2312" w:hAnsi="仿宋_GB2312" w:eastAsia="仿宋_GB2312" w:cs="仿宋_GB2312"/>
          <w:color w:val="000000"/>
          <w:kern w:val="0"/>
          <w:sz w:val="32"/>
          <w:szCs w:val="32"/>
          <w:shd w:val="clear" w:color="auto" w:fill="FFFFFF"/>
          <w:lang w:val="zh-CN"/>
        </w:rPr>
        <w:t>组织实施馆藏档案整理、鉴定、保管、保护、解密、划控、开放和销毁工作</w:t>
      </w:r>
      <w:r>
        <w:rPr>
          <w:rFonts w:hint="eastAsia" w:ascii="仿宋_GB2312" w:hAnsi="仿宋_GB2312" w:eastAsia="仿宋_GB2312" w:cs="仿宋_GB2312"/>
          <w:color w:val="000000"/>
          <w:kern w:val="0"/>
          <w:sz w:val="32"/>
          <w:szCs w:val="32"/>
          <w:shd w:val="clear" w:color="auto" w:fill="FFFFFF"/>
          <w:lang w:val="zh-CN" w:eastAsia="zh-CN"/>
        </w:rPr>
        <w:t>履职效果。</w:t>
      </w:r>
      <w:r>
        <w:rPr>
          <w:rFonts w:hint="eastAsia" w:ascii="仿宋_GB2312" w:hAnsi="仿宋_GB2312" w:eastAsia="仿宋_GB2312" w:cs="仿宋_GB2312"/>
          <w:color w:val="000000"/>
          <w:kern w:val="0"/>
          <w:sz w:val="32"/>
          <w:szCs w:val="32"/>
          <w:shd w:val="clear" w:color="auto" w:fill="FFFFFF"/>
          <w:lang w:val="en-US" w:eastAsia="zh-CN"/>
        </w:rPr>
        <w:t>2024年投入项目资金36.92万元用于档案征集、保护、整理、开发等档案业务工作，得5分。共计得15分。</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left"/>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lang w:val="zh-CN"/>
        </w:rPr>
        <w:t>预算管理。一是预算编制质量。我馆严格按照财政要求科学、准确编制</w:t>
      </w:r>
      <w:r>
        <w:rPr>
          <w:rFonts w:hint="eastAsia" w:ascii="仿宋_GB2312" w:hAnsi="仿宋_GB2312" w:eastAsia="仿宋_GB2312" w:cs="仿宋_GB2312"/>
          <w:color w:val="000000"/>
          <w:kern w:val="0"/>
          <w:sz w:val="32"/>
          <w:szCs w:val="32"/>
          <w:shd w:val="clear" w:color="auto" w:fill="FFFFFF"/>
          <w:lang w:val="en-US" w:eastAsia="zh-CN"/>
        </w:rPr>
        <w:t>2024年</w:t>
      </w:r>
      <w:r>
        <w:rPr>
          <w:rFonts w:hint="eastAsia" w:ascii="仿宋_GB2312" w:hAnsi="仿宋_GB2312" w:eastAsia="仿宋_GB2312" w:cs="仿宋_GB2312"/>
          <w:color w:val="000000"/>
          <w:kern w:val="0"/>
          <w:sz w:val="32"/>
          <w:szCs w:val="32"/>
          <w:shd w:val="clear" w:color="auto" w:fill="FFFFFF"/>
          <w:lang w:val="zh-CN"/>
        </w:rPr>
        <w:t>部门预算，得</w:t>
      </w:r>
      <w:r>
        <w:rPr>
          <w:rFonts w:hint="eastAsia" w:ascii="仿宋_GB2312" w:hAnsi="仿宋_GB2312" w:eastAsia="仿宋_GB2312" w:cs="仿宋_GB2312"/>
          <w:color w:val="000000"/>
          <w:kern w:val="0"/>
          <w:sz w:val="32"/>
          <w:szCs w:val="32"/>
          <w:shd w:val="clear" w:color="auto" w:fill="FFFFFF"/>
          <w:lang w:val="en-US" w:eastAsia="zh-CN"/>
        </w:rPr>
        <w:t>8分。二是</w:t>
      </w:r>
      <w:r>
        <w:rPr>
          <w:rFonts w:hint="eastAsia" w:ascii="仿宋_GB2312" w:hAnsi="仿宋_GB2312" w:eastAsia="仿宋_GB2312" w:cs="仿宋_GB2312"/>
          <w:color w:val="000000"/>
          <w:kern w:val="0"/>
          <w:sz w:val="32"/>
          <w:szCs w:val="32"/>
          <w:shd w:val="clear" w:color="auto" w:fill="FFFFFF"/>
          <w:lang w:val="zh-CN"/>
        </w:rPr>
        <w:t>支出执行进度。</w:t>
      </w:r>
      <w:r>
        <w:rPr>
          <w:rFonts w:hint="eastAsia" w:ascii="仿宋_GB2312" w:hAnsi="仿宋_GB2312" w:eastAsia="仿宋_GB2312" w:cs="仿宋_GB2312"/>
          <w:color w:val="000000"/>
          <w:kern w:val="0"/>
          <w:sz w:val="32"/>
          <w:szCs w:val="32"/>
          <w:shd w:val="clear" w:color="auto" w:fill="FFFFFF"/>
          <w:lang w:val="en-US" w:eastAsia="zh-CN"/>
        </w:rPr>
        <w:t>2024年1-6月预算执行进度为50.09%，1-10月预算执行进度为85.11%，无支出预警金额，无支出违规金额，得6分。三是预算年终结余。2024年部门整体预算结余率为21.93%，得3.9分。四是严控一般性支出。2023年一般性支出财政拨款年初预算为18.64万元，2024年一般性支出财政拨款年初预算为19.74万元，未实现压减；2023年一般性支出财政拨款预算执行数为17.85万元，2024年一般性支出财政拨款预算执行数为16.67万元，实现压减6.6%，得4分。共计得21.9分。</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left"/>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3.</w:t>
      </w:r>
      <w:r>
        <w:rPr>
          <w:rFonts w:hint="eastAsia" w:ascii="仿宋_GB2312" w:hAnsi="仿宋_GB2312" w:eastAsia="仿宋_GB2312" w:cs="仿宋_GB2312"/>
          <w:color w:val="000000"/>
          <w:kern w:val="0"/>
          <w:sz w:val="32"/>
          <w:szCs w:val="32"/>
          <w:shd w:val="clear" w:color="auto" w:fill="FFFFFF"/>
          <w:lang w:val="zh-CN"/>
        </w:rPr>
        <w:t>财务管理。一是财务管理制度。已制定《广元市档案馆预算绩效管理制度》《广元市档案馆建设项目管理办法》《广元市档案馆政府采购内部控制管理制度》《广元市档案馆内部审计管理制度》《广元市档案馆财务管理制度》《广元市档案馆固定资产管理制度》《广元市档案馆合同管理制度》《广元市档案馆预算绩效管理实施方案》《广元市档案馆预算绩效运行监控操作规程》《广元市档案馆内部控制岗位职责制度》等</w:t>
      </w:r>
      <w:r>
        <w:rPr>
          <w:rFonts w:hint="eastAsia" w:ascii="仿宋_GB2312" w:hAnsi="仿宋_GB2312" w:eastAsia="仿宋_GB2312" w:cs="仿宋_GB2312"/>
          <w:color w:val="000000"/>
          <w:kern w:val="0"/>
          <w:sz w:val="32"/>
          <w:szCs w:val="32"/>
          <w:shd w:val="clear" w:color="auto" w:fill="FFFFFF"/>
          <w:lang w:val="en-US" w:eastAsia="zh-CN"/>
        </w:rPr>
        <w:t>10项制度，并严格按照制度要求开展财务工作，得4分。二是财务岗位设置。合理设置财务工作岗位，明确各岗位职责权限，严格按照内部控制要求，实行不相容岗位分离，得2分。三是资金使用规范。2024年资金使用均符合相关财务管理制度规定，得4分。共计得10分。</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left"/>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lang w:val="zh-CN"/>
        </w:rPr>
        <w:t>资产管理。一是人均资产变化率。</w:t>
      </w:r>
      <w:r>
        <w:rPr>
          <w:rFonts w:hint="eastAsia" w:ascii="仿宋_GB2312" w:hAnsi="仿宋_GB2312" w:eastAsia="仿宋_GB2312" w:cs="仿宋_GB2312"/>
          <w:color w:val="000000"/>
          <w:kern w:val="0"/>
          <w:sz w:val="32"/>
          <w:szCs w:val="32"/>
          <w:shd w:val="clear" w:color="auto" w:fill="FFFFFF"/>
          <w:lang w:val="en-US" w:eastAsia="zh-CN"/>
        </w:rPr>
        <w:t>2024年部门人均资产变化率为3.2%，人均资产增长率为3.2%，得2.4分。二是资产利用率。当前我馆没有超最低使用年限的办公家具，办公设备超最低使用年限资产利用率为46.75%，得2.1分。三是资产盘活率。2023年和2024年均无闲置资产，不涉及此项指标，得3分。共计得7.5分。</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left"/>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5.</w:t>
      </w:r>
      <w:r>
        <w:rPr>
          <w:rFonts w:hint="eastAsia" w:ascii="仿宋_GB2312" w:hAnsi="仿宋_GB2312" w:eastAsia="仿宋_GB2312" w:cs="仿宋_GB2312"/>
          <w:color w:val="000000"/>
          <w:kern w:val="0"/>
          <w:sz w:val="32"/>
          <w:szCs w:val="32"/>
          <w:shd w:val="clear" w:color="auto" w:fill="FFFFFF"/>
          <w:lang w:val="zh-CN"/>
        </w:rPr>
        <w:t>采购管理。</w:t>
      </w:r>
      <w:r>
        <w:rPr>
          <w:rFonts w:hint="eastAsia" w:ascii="仿宋_GB2312" w:hAnsi="仿宋_GB2312" w:eastAsia="仿宋_GB2312" w:cs="仿宋_GB2312"/>
          <w:color w:val="000000"/>
          <w:kern w:val="0"/>
          <w:sz w:val="32"/>
          <w:szCs w:val="32"/>
          <w:shd w:val="clear" w:color="auto" w:fill="FFFFFF"/>
          <w:lang w:val="en-US" w:eastAsia="zh-CN"/>
        </w:rPr>
        <w:t>一是支持中小企业发展。2024年我馆数字档案馆建设项目完成意向公开，由于确需使用不可替代的专利、专有技术的原因，只能从中小企业之外的供应商处采购的，符合不专门面向中小企业采购，得3分。二是采购执行率。2024年政府采购实际支付总金额为58.62元，当年政府采购总预算299.18万元，无节约金额，得0.59分。共计得3.59分。</w:t>
      </w:r>
    </w:p>
    <w:p>
      <w:pPr>
        <w:keepNext w:val="0"/>
        <w:keepLines w:val="0"/>
        <w:pageBreakBefore w:val="0"/>
        <w:widowControl w:val="0"/>
        <w:kinsoku/>
        <w:wordWrap/>
        <w:overflowPunct w:val="0"/>
        <w:topLinePunct w:val="0"/>
        <w:autoSpaceDE/>
        <w:autoSpaceDN/>
        <w:bidi w:val="0"/>
        <w:adjustRightInd/>
        <w:snapToGrid/>
        <w:spacing w:line="576" w:lineRule="exact"/>
        <w:ind w:leftChars="0" w:firstLine="640" w:firstLineChars="200"/>
        <w:textAlignment w:val="auto"/>
        <w:rPr>
          <w:rFonts w:hint="default" w:ascii="Times New Roman" w:hAnsi="Times New Roman" w:eastAsia="楷体_GB2312" w:cs="Times New Roman"/>
          <w:b w:val="0"/>
          <w:b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（二）部门预算项目绩效分析。</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常年项目绩效分析。该类项目总数2个，涉及预算总金额86.72万元，1-12月预算执行总体进度为100%，无结余。</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left"/>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阶段（含一次性）项目绩效分析。该类项目总数2个，涉及预算总金额314.64万元，1-12月预算执行总体进度为23.54%，其中：预算结余率大于10%的项目共计1个。</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left"/>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1.</w:t>
      </w:r>
      <w:r>
        <w:rPr>
          <w:rFonts w:hint="eastAsia" w:ascii="仿宋_GB2312" w:hAnsi="仿宋_GB2312" w:eastAsia="仿宋_GB2312" w:cs="仿宋_GB2312"/>
          <w:color w:val="000000"/>
          <w:kern w:val="0"/>
          <w:sz w:val="32"/>
          <w:szCs w:val="32"/>
          <w:shd w:val="clear" w:color="auto" w:fill="FFFFFF"/>
          <w:lang w:val="zh-CN" w:eastAsia="zh-CN"/>
        </w:rPr>
        <w:t>项目决策。一是决策程序。所有项目均按规定申报设立并履行评估程序，得</w:t>
      </w:r>
      <w:r>
        <w:rPr>
          <w:rFonts w:hint="eastAsia" w:ascii="仿宋_GB2312" w:hAnsi="仿宋_GB2312" w:eastAsia="仿宋_GB2312" w:cs="仿宋_GB2312"/>
          <w:color w:val="000000"/>
          <w:kern w:val="0"/>
          <w:sz w:val="32"/>
          <w:szCs w:val="32"/>
          <w:shd w:val="clear" w:color="auto" w:fill="FFFFFF"/>
          <w:lang w:val="en-US" w:eastAsia="zh-CN"/>
        </w:rPr>
        <w:t>4分。二是目标设置。项目绩效目标与计划期内的任务量、预算安排的资金量匹配，绩效目标设置科学合理、规范完整、量化细化，得4分。三是项目入库。所有部门预算项目均在规定时间完成项目入库，得4分。共计得分12分。</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left"/>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2.项目执行</w:t>
      </w:r>
      <w:r>
        <w:rPr>
          <w:rFonts w:hint="eastAsia" w:ascii="仿宋_GB2312" w:hAnsi="仿宋_GB2312" w:eastAsia="仿宋_GB2312" w:cs="仿宋_GB2312"/>
          <w:color w:val="000000"/>
          <w:kern w:val="0"/>
          <w:sz w:val="32"/>
          <w:szCs w:val="32"/>
          <w:shd w:val="clear" w:color="auto" w:fill="FFFFFF"/>
          <w:lang w:val="zh-CN" w:eastAsia="zh-CN"/>
        </w:rPr>
        <w:t>。一是执行同向。所有部门预算项目实际列支内容均与绩效目标设置相符，得</w:t>
      </w:r>
      <w:r>
        <w:rPr>
          <w:rFonts w:hint="eastAsia" w:ascii="仿宋_GB2312" w:hAnsi="仿宋_GB2312" w:eastAsia="仿宋_GB2312" w:cs="仿宋_GB2312"/>
          <w:color w:val="000000"/>
          <w:kern w:val="0"/>
          <w:sz w:val="32"/>
          <w:szCs w:val="32"/>
          <w:shd w:val="clear" w:color="auto" w:fill="FFFFFF"/>
          <w:lang w:val="en-US" w:eastAsia="zh-CN"/>
        </w:rPr>
        <w:t>4分。二是项目调整。2024年应采取回收预算处置措施的部门预算特定目标类项目有1个，年底已按要求回收项目预算，得4分。三是执行结果。2024年预算结余率小于10%的项目有3个，部门预算项目总数4个，得3分。共计得11分。</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left"/>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3.</w:t>
      </w:r>
      <w:r>
        <w:rPr>
          <w:rFonts w:hint="eastAsia" w:ascii="仿宋_GB2312" w:hAnsi="仿宋_GB2312" w:eastAsia="仿宋_GB2312" w:cs="仿宋_GB2312"/>
          <w:color w:val="000000"/>
          <w:kern w:val="0"/>
          <w:sz w:val="32"/>
          <w:szCs w:val="32"/>
          <w:shd w:val="clear" w:color="auto" w:fill="FFFFFF"/>
          <w:lang w:val="zh-CN" w:eastAsia="zh-CN"/>
        </w:rPr>
        <w:t>目标实现。一是目标完成。</w:t>
      </w:r>
      <w:r>
        <w:rPr>
          <w:rFonts w:hint="eastAsia" w:ascii="仿宋_GB2312" w:hAnsi="仿宋_GB2312" w:eastAsia="仿宋_GB2312" w:cs="仿宋_GB2312"/>
          <w:color w:val="000000"/>
          <w:kern w:val="0"/>
          <w:sz w:val="32"/>
          <w:szCs w:val="32"/>
          <w:shd w:val="clear" w:color="auto" w:fill="FFFFFF"/>
          <w:lang w:val="en-US" w:eastAsia="zh-CN"/>
        </w:rPr>
        <w:t>2024年除数字档案馆建设项目外，其余部门预算项目数量指标均已完成，得3分。二是目标偏离。2024年所有部门预算项目绩效目标数量指标均无偏离，得4分。三是实现效果。2024年除数字档案馆建设项目外，其余3个部门预算项目绩效目标效益指标均已完成，得2.25分。共计得9.25分。</w:t>
      </w:r>
    </w:p>
    <w:p>
      <w:pPr>
        <w:pStyle w:val="15"/>
        <w:keepNext w:val="0"/>
        <w:keepLines w:val="0"/>
        <w:pageBreakBefore w:val="0"/>
        <w:widowControl w:val="0"/>
        <w:kinsoku/>
        <w:wordWrap/>
        <w:overflowPunct w:val="0"/>
        <w:topLinePunct w:val="0"/>
        <w:autoSpaceDE/>
        <w:autoSpaceDN/>
        <w:bidi w:val="0"/>
        <w:adjustRightInd/>
        <w:snapToGrid/>
        <w:spacing w:after="0" w:line="576" w:lineRule="exact"/>
        <w:ind w:leftChars="0"/>
        <w:textAlignment w:val="auto"/>
        <w:rPr>
          <w:rFonts w:hint="eastAsia" w:ascii="仿宋_GB2312" w:hAnsi="仿宋_GB2312" w:eastAsia="仿宋_GB2312" w:cs="仿宋_GB2312"/>
          <w:color w:val="000000"/>
          <w:kern w:val="0"/>
          <w:sz w:val="32"/>
          <w:szCs w:val="32"/>
          <w:shd w:val="clear" w:color="auto" w:fill="FFFFFF"/>
          <w:lang w:val="zh-CN" w:eastAsia="zh-CN" w:bidi="ar-SA"/>
        </w:rPr>
      </w:pPr>
      <w:r>
        <w:rPr>
          <w:rFonts w:hint="default" w:ascii="Times New Roman" w:hAnsi="Times New Roman" w:eastAsia="楷体_GB2312" w:cs="Times New Roman"/>
          <w:b w:val="0"/>
          <w:bCs w:val="0"/>
          <w:sz w:val="32"/>
          <w:szCs w:val="32"/>
          <w:lang w:val="zh-CN"/>
        </w:rPr>
        <w:t>（</w:t>
      </w:r>
      <w:r>
        <w:rPr>
          <w:rFonts w:hint="eastAsia" w:ascii="Times New Roman" w:eastAsia="楷体_GB2312" w:cs="Times New Roman"/>
          <w:b w:val="0"/>
          <w:bCs w:val="0"/>
          <w:sz w:val="32"/>
          <w:szCs w:val="32"/>
          <w:lang w:val="zh-CN"/>
        </w:rPr>
        <w:t>三</w:t>
      </w:r>
      <w:r>
        <w:rPr>
          <w:rFonts w:hint="default" w:ascii="Times New Roman" w:hAnsi="Times New Roman" w:eastAsia="楷体_GB2312" w:cs="Times New Roman"/>
          <w:b w:val="0"/>
          <w:bCs w:val="0"/>
          <w:sz w:val="32"/>
          <w:szCs w:val="32"/>
          <w:lang w:val="zh-CN"/>
        </w:rPr>
        <w:t>）绩效结果应用情况</w:t>
      </w:r>
      <w:r>
        <w:rPr>
          <w:rFonts w:hint="eastAsia" w:ascii="Times New Roman" w:hAnsi="Times New Roman" w:eastAsia="楷体_GB2312" w:cs="Times New Roman"/>
          <w:b w:val="0"/>
          <w:bCs w:val="0"/>
          <w:sz w:val="32"/>
          <w:szCs w:val="32"/>
          <w:lang w:val="zh-CN"/>
        </w:rPr>
        <w:t>。</w:t>
      </w:r>
      <w:r>
        <w:rPr>
          <w:rFonts w:hint="eastAsia" w:ascii="仿宋_GB2312" w:hAnsi="仿宋_GB2312" w:eastAsia="仿宋_GB2312" w:cs="仿宋_GB2312"/>
          <w:color w:val="000000"/>
          <w:kern w:val="0"/>
          <w:sz w:val="32"/>
          <w:szCs w:val="32"/>
          <w:shd w:val="clear" w:color="auto" w:fill="FFFFFF"/>
          <w:lang w:val="en-US" w:eastAsia="zh-CN" w:bidi="ar-SA"/>
        </w:rPr>
        <w:t>我馆严格按照市财政局要求，随预算向社会公开部门绩效目标，按照绩效评价结果及时指导相关项目的执行方向、进度。采取比较法，对比年初绩效目标，按照有关标准办法，评价各项目产出效益情况，指导次年预算项目编制，并将各科室绩效自评纳入考核体系，建立单位内部预算与绩效挂钩机制。对绩效管理过程中出现的问题及时整改，不断完善我馆绩效管理制度。</w:t>
      </w:r>
    </w:p>
    <w:p>
      <w:pPr>
        <w:keepNext w:val="0"/>
        <w:keepLines w:val="0"/>
        <w:pageBreakBefore w:val="0"/>
        <w:widowControl w:val="0"/>
        <w:kinsoku/>
        <w:wordWrap/>
        <w:overflowPunct w:val="0"/>
        <w:topLinePunct w:val="0"/>
        <w:autoSpaceDE/>
        <w:autoSpaceDN/>
        <w:bidi w:val="0"/>
        <w:adjustRightInd w:val="0"/>
        <w:snapToGrid w:val="0"/>
        <w:spacing w:line="576" w:lineRule="exact"/>
        <w:ind w:leftChars="0" w:firstLine="640" w:firstLineChars="200"/>
        <w:contextualSpacing/>
        <w:jc w:val="left"/>
        <w:textAlignment w:val="auto"/>
        <w:outlineLvl w:val="9"/>
        <w:rPr>
          <w:rFonts w:hint="default" w:ascii="Times New Roman" w:hAnsi="Times New Roman" w:eastAsia="黑体" w:cs="Times New Roman"/>
          <w:b w:val="0"/>
          <w:bCs w:val="0"/>
          <w:color w:val="000000"/>
          <w:kern w:val="0"/>
          <w:sz w:val="32"/>
          <w:szCs w:val="32"/>
          <w:highlight w:val="none"/>
          <w:shd w:val="clear" w:color="auto" w:fill="FFFFFF"/>
        </w:rPr>
      </w:pPr>
      <w:r>
        <w:rPr>
          <w:rFonts w:hint="default" w:ascii="Times New Roman" w:hAnsi="Times New Roman" w:eastAsia="黑体" w:cs="Times New Roman"/>
          <w:b w:val="0"/>
          <w:bCs w:val="0"/>
          <w:color w:val="000000"/>
          <w:kern w:val="0"/>
          <w:sz w:val="32"/>
          <w:szCs w:val="32"/>
          <w:highlight w:val="none"/>
          <w:shd w:val="clear" w:color="auto" w:fill="FFFFFF"/>
          <w:lang w:eastAsia="zh-CN"/>
        </w:rPr>
        <w:t>四、</w:t>
      </w:r>
      <w:r>
        <w:rPr>
          <w:rFonts w:hint="default" w:ascii="Times New Roman" w:hAnsi="Times New Roman" w:eastAsia="黑体" w:cs="Times New Roman"/>
          <w:b w:val="0"/>
          <w:bCs w:val="0"/>
          <w:color w:val="000000"/>
          <w:kern w:val="0"/>
          <w:sz w:val="32"/>
          <w:szCs w:val="32"/>
          <w:highlight w:val="none"/>
          <w:shd w:val="clear" w:color="auto" w:fill="FFFFFF"/>
        </w:rPr>
        <w:t>评价结论及建议</w:t>
      </w:r>
    </w:p>
    <w:p>
      <w:pPr>
        <w:keepNext w:val="0"/>
        <w:keepLines w:val="0"/>
        <w:pageBreakBefore w:val="0"/>
        <w:widowControl w:val="0"/>
        <w:kinsoku/>
        <w:wordWrap/>
        <w:overflowPunct w:val="0"/>
        <w:topLinePunct w:val="0"/>
        <w:autoSpaceDE/>
        <w:autoSpaceDN/>
        <w:bidi w:val="0"/>
        <w:spacing w:line="576" w:lineRule="exact"/>
        <w:ind w:left="0" w:leftChars="0" w:firstLine="640" w:firstLineChars="200"/>
        <w:textAlignment w:val="auto"/>
        <w:rPr>
          <w:rFonts w:hint="default" w:ascii="仿宋_GB2312" w:hAnsi="仿宋_GB2312" w:eastAsia="仿宋_GB2312" w:cs="仿宋_GB2312"/>
          <w:color w:val="000000"/>
          <w:kern w:val="0"/>
          <w:sz w:val="32"/>
          <w:szCs w:val="32"/>
          <w:shd w:val="clear" w:color="auto" w:fill="FFFFFF"/>
          <w:lang w:val="en-US"/>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（一）评价结论。</w:t>
      </w:r>
      <w:r>
        <w:rPr>
          <w:rFonts w:hint="eastAsia" w:ascii="仿宋_GB2312" w:hAnsi="仿宋_GB2312" w:eastAsia="仿宋_GB2312" w:cs="仿宋_GB2312"/>
          <w:color w:val="000000"/>
          <w:kern w:val="0"/>
          <w:sz w:val="32"/>
          <w:szCs w:val="32"/>
          <w:shd w:val="clear" w:color="auto" w:fill="FFFFFF"/>
          <w:lang w:val="en-US" w:eastAsia="zh-CN"/>
        </w:rPr>
        <w:t>本年度我馆部门整体支出绩效评价自评结果得分90.24分，全年人员类支出保障了单位职工薪金及福利待遇按时足额发放，运转类支出保证了部门正常运行和日常工作的正常开展，特定目标类支出保障了档案重点业务工作的开展，基本达到预期绩效目标。</w:t>
      </w:r>
    </w:p>
    <w:p>
      <w:pPr>
        <w:pStyle w:val="6"/>
        <w:keepNext w:val="0"/>
        <w:keepLines w:val="0"/>
        <w:pageBreakBefore w:val="0"/>
        <w:widowControl w:val="0"/>
        <w:numPr>
          <w:ilvl w:val="0"/>
          <w:numId w:val="0"/>
        </w:numPr>
        <w:tabs>
          <w:tab w:val="left" w:pos="2160"/>
        </w:tabs>
        <w:kinsoku/>
        <w:wordWrap/>
        <w:overflowPunct/>
        <w:topLinePunct w:val="0"/>
        <w:autoSpaceDE/>
        <w:autoSpaceDN/>
        <w:bidi w:val="0"/>
        <w:adjustRightInd/>
        <w:spacing w:beforeLines="0" w:after="0" w:line="576" w:lineRule="exact"/>
        <w:ind w:leftChars="0" w:firstLine="640" w:firstLineChars="200"/>
        <w:textAlignment w:val="auto"/>
        <w:rPr>
          <w:rFonts w:hint="default" w:ascii="Times New Roman" w:hAnsi="Times New Roman" w:eastAsia="楷体_GB2312" w:cs="Times New Roman"/>
          <w:b w:val="0"/>
          <w:bCs w:val="0"/>
          <w:color w:val="000000"/>
          <w:kern w:val="0"/>
          <w:sz w:val="32"/>
          <w:szCs w:val="32"/>
          <w:highlight w:val="none"/>
          <w:shd w:val="clear" w:color="auto" w:fill="FFFFFF"/>
          <w:lang w:val="en-US" w:eastAsia="zh"/>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（二）存在问题。</w:t>
      </w:r>
      <w:r>
        <w:rPr>
          <w:rFonts w:hint="eastAsia" w:ascii="仿宋_GB2312" w:hAnsi="仿宋_GB2312" w:eastAsia="仿宋_GB2312" w:cs="仿宋_GB2312"/>
          <w:color w:val="000000"/>
          <w:kern w:val="0"/>
          <w:sz w:val="32"/>
          <w:szCs w:val="32"/>
          <w:shd w:val="clear" w:color="auto" w:fill="FFFFFF"/>
          <w:lang w:val="zh-CN" w:eastAsia="zh-CN" w:bidi="ar-SA"/>
        </w:rPr>
        <w:t>一是一般性支出年初预算由于工作需要有所增长；二是资产管理水平有待进一步提升；三是数字档案馆项目由于</w:t>
      </w:r>
      <w:r>
        <w:rPr>
          <w:rFonts w:hint="default" w:ascii="仿宋_GB2312" w:hAnsi="仿宋_GB2312" w:eastAsia="仿宋_GB2312" w:cs="仿宋_GB2312"/>
          <w:color w:val="000000"/>
          <w:kern w:val="0"/>
          <w:sz w:val="32"/>
          <w:szCs w:val="32"/>
          <w:shd w:val="clear" w:color="auto" w:fill="FFFFFF"/>
          <w:lang w:val="en-US" w:eastAsia="zh-CN" w:bidi="ar-SA"/>
        </w:rPr>
        <w:t>省上配发软件的配置参数标准延迟公布</w:t>
      </w:r>
      <w:r>
        <w:rPr>
          <w:rFonts w:hint="eastAsia" w:ascii="仿宋_GB2312" w:hAnsi="仿宋_GB2312" w:eastAsia="仿宋_GB2312" w:cs="仿宋_GB2312"/>
          <w:color w:val="000000"/>
          <w:kern w:val="0"/>
          <w:sz w:val="32"/>
          <w:szCs w:val="32"/>
          <w:shd w:val="clear" w:color="auto" w:fill="FFFFFF"/>
          <w:lang w:val="en-US" w:eastAsia="zh-CN" w:bidi="ar-SA"/>
        </w:rPr>
        <w:t>，</w:t>
      </w:r>
      <w:r>
        <w:rPr>
          <w:rFonts w:hint="default" w:ascii="仿宋_GB2312" w:hAnsi="仿宋_GB2312" w:eastAsia="仿宋_GB2312" w:cs="仿宋_GB2312"/>
          <w:color w:val="000000"/>
          <w:kern w:val="0"/>
          <w:sz w:val="32"/>
          <w:szCs w:val="32"/>
          <w:shd w:val="clear" w:color="auto" w:fill="FFFFFF"/>
          <w:lang w:val="en-US" w:eastAsia="zh-CN" w:bidi="ar-SA"/>
        </w:rPr>
        <w:t>导致</w:t>
      </w:r>
      <w:r>
        <w:rPr>
          <w:rFonts w:hint="eastAsia" w:ascii="仿宋_GB2312" w:hAnsi="仿宋_GB2312" w:eastAsia="仿宋_GB2312" w:cs="仿宋_GB2312"/>
          <w:color w:val="000000"/>
          <w:kern w:val="0"/>
          <w:sz w:val="32"/>
          <w:szCs w:val="32"/>
          <w:shd w:val="clear" w:color="auto" w:fill="FFFFFF"/>
          <w:lang w:val="en-US" w:eastAsia="zh-CN" w:bidi="ar-SA"/>
        </w:rPr>
        <w:t>项目</w:t>
      </w:r>
      <w:r>
        <w:rPr>
          <w:rFonts w:hint="default" w:ascii="仿宋_GB2312" w:hAnsi="仿宋_GB2312" w:eastAsia="仿宋_GB2312" w:cs="仿宋_GB2312"/>
          <w:color w:val="000000"/>
          <w:kern w:val="0"/>
          <w:sz w:val="32"/>
          <w:szCs w:val="32"/>
          <w:shd w:val="clear" w:color="auto" w:fill="FFFFFF"/>
          <w:lang w:val="en-US" w:eastAsia="zh-CN" w:bidi="ar-SA"/>
        </w:rPr>
        <w:t>采购工作未</w:t>
      </w:r>
      <w:r>
        <w:rPr>
          <w:rFonts w:hint="eastAsia" w:ascii="仿宋_GB2312" w:hAnsi="仿宋_GB2312" w:eastAsia="仿宋_GB2312" w:cs="仿宋_GB2312"/>
          <w:color w:val="000000"/>
          <w:kern w:val="0"/>
          <w:sz w:val="32"/>
          <w:szCs w:val="32"/>
          <w:shd w:val="clear" w:color="auto" w:fill="FFFFFF"/>
          <w:lang w:val="en-US" w:eastAsia="zh-CN" w:bidi="ar-SA"/>
        </w:rPr>
        <w:t>及时开展，预算资金结转至下一年支付</w:t>
      </w:r>
      <w:r>
        <w:rPr>
          <w:rFonts w:hint="default" w:ascii="仿宋_GB2312" w:hAnsi="仿宋_GB2312" w:eastAsia="仿宋_GB2312" w:cs="仿宋_GB2312"/>
          <w:color w:val="000000"/>
          <w:kern w:val="0"/>
          <w:sz w:val="32"/>
          <w:szCs w:val="32"/>
          <w:shd w:val="clear" w:color="auto" w:fill="FFFFFF"/>
          <w:lang w:val="en-US" w:eastAsia="zh-CN" w:bidi="ar-SA"/>
        </w:rPr>
        <w:t>。</w:t>
      </w:r>
    </w:p>
    <w:p>
      <w:pPr>
        <w:keepNext w:val="0"/>
        <w:keepLines w:val="0"/>
        <w:pageBreakBefore w:val="0"/>
        <w:widowControl w:val="0"/>
        <w:kinsoku/>
        <w:wordWrap/>
        <w:topLinePunct w:val="0"/>
        <w:autoSpaceDE/>
        <w:autoSpaceDN/>
        <w:bidi w:val="0"/>
        <w:spacing w:line="576" w:lineRule="exact"/>
        <w:ind w:leftChars="0"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（三）改进建议。</w:t>
      </w:r>
      <w:r>
        <w:rPr>
          <w:rFonts w:hint="eastAsia" w:ascii="仿宋_GB2312" w:hAnsi="仿宋_GB2312" w:eastAsia="仿宋_GB2312" w:cs="仿宋_GB2312"/>
          <w:color w:val="000000"/>
          <w:kern w:val="0"/>
          <w:sz w:val="32"/>
          <w:szCs w:val="32"/>
          <w:shd w:val="clear" w:color="auto" w:fill="FFFFFF"/>
          <w:lang w:val="en-US" w:eastAsia="zh-CN"/>
        </w:rPr>
        <w:t>一是深入贯彻落实党中央、国务院和省委、省政府党政机关过紧日子要求，持续提高预算编制科学性和准确性，尽最大努力降低行政运行成本，进一步压减一般性支出。二是增强监管意识，认真落实资产管理责任，建立固定资产管理清查核对制度，定期开展清查盘点，切实保障国有资产的安全完整，确保进一步提升资产的使用效益。三是加强预算绩效管理，强化预算执行监控，动态了解和掌握项目资金使用、项目实施管理和绩效目标实现程度，针对执行进度较慢的项目认真查找原因、积极督促整改、加快预算执行，保证项目整体实施效果，确保项目绩效目标完整实现。</w:t>
      </w: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zh-CN" w:eastAsia="zh-CN" w:bidi="ar-SA"/>
        </w:rPr>
        <w:t>附表：</w:t>
      </w:r>
      <w:r>
        <w:rPr>
          <w:rFonts w:hint="eastAsia" w:ascii="仿宋_GB2312" w:hAnsi="仿宋_GB2312" w:eastAsia="仿宋_GB2312" w:cs="仿宋_GB2312"/>
          <w:color w:val="000000"/>
          <w:kern w:val="0"/>
          <w:sz w:val="32"/>
          <w:szCs w:val="32"/>
          <w:shd w:val="clear" w:color="auto" w:fill="FFFFFF"/>
          <w:lang w:val="en-US" w:eastAsia="zh-CN" w:bidi="ar-SA"/>
        </w:rPr>
        <w:t>部门预算项目支出绩效自评表（2024年度）</w:t>
      </w: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jc w:val="center"/>
        <w:textAlignment w:val="auto"/>
        <w:rPr>
          <w:rFonts w:hint="eastAsia" w:ascii="仿宋_GB2312" w:hAnsi="仿宋_GB2312" w:eastAsia="仿宋_GB2312" w:cs="仿宋_GB2312"/>
          <w:color w:val="000000"/>
          <w:kern w:val="0"/>
          <w:sz w:val="32"/>
          <w:szCs w:val="32"/>
          <w:shd w:val="clear" w:color="auto" w:fill="FFFFFF"/>
          <w:lang w:val="zh-CN" w:eastAsia="zh-CN" w:bidi="ar-SA"/>
        </w:rPr>
      </w:pPr>
      <w:bookmarkStart w:id="107" w:name="_GoBack"/>
      <w:bookmarkEnd w:id="107"/>
      <w:r>
        <w:rPr>
          <w:rFonts w:hint="eastAsia" w:hAnsi="仿宋_GB2312" w:eastAsia="仿宋_GB2312" w:cs="仿宋_GB2312"/>
          <w:color w:val="000000"/>
          <w:kern w:val="0"/>
          <w:sz w:val="32"/>
          <w:szCs w:val="32"/>
          <w:shd w:val="clear" w:color="auto" w:fill="FFFFFF"/>
          <w:lang w:val="en-US" w:eastAsia="zh-CN" w:bidi="ar-SA"/>
        </w:rPr>
        <w:t>见附件</w:t>
      </w:r>
    </w:p>
    <w:p>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pPr>
        <w:pStyle w:val="6"/>
        <w:rPr>
          <w:rFonts w:hint="eastAsia" w:ascii="Times New Roman" w:hAnsi="Times New Roman" w:cs="宋体"/>
          <w:color w:val="FF0000"/>
          <w:kern w:val="0"/>
          <w:sz w:val="32"/>
          <w:szCs w:val="32"/>
          <w:highlight w:val="yellow"/>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pPr>
        <w:pStyle w:val="6"/>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p>
    <w:p>
      <w:pPr>
        <w:pStyle w:val="36"/>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专项预算项目绩效评价报告范本</w:t>
      </w:r>
    </w:p>
    <w:p>
      <w:pPr>
        <w:pStyle w:val="36"/>
        <w:keepNext w:val="0"/>
        <w:keepLines w:val="0"/>
        <w:pageBreakBefore w:val="0"/>
        <w:widowControl w:val="0"/>
        <w:kinsoku/>
        <w:wordWrap/>
        <w:overflowPunct/>
        <w:topLinePunct w:val="0"/>
        <w:autoSpaceDE/>
        <w:autoSpaceDN/>
        <w:bidi w:val="0"/>
        <w:spacing w:line="576" w:lineRule="exact"/>
        <w:ind w:left="0" w:leftChars="0" w:firstLine="640"/>
        <w:jc w:val="center"/>
        <w:textAlignment w:val="auto"/>
        <w:rPr>
          <w:rFonts w:ascii="Times New Roman" w:hAnsi="Times New Roman"/>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b w:val="0"/>
          <w:bCs w:val="0"/>
          <w:color w:val="auto"/>
          <w:sz w:val="32"/>
          <w:szCs w:val="32"/>
          <w:highlight w:val="none"/>
          <w:lang w:val="zh-CN"/>
        </w:rPr>
      </w:pPr>
      <w:r>
        <w:rPr>
          <w:rFonts w:hint="default" w:ascii="Times New Roman" w:hAnsi="Times New Roman" w:eastAsia="黑体" w:cs="Times New Roman"/>
          <w:b w:val="0"/>
          <w:bCs w:val="0"/>
          <w:color w:val="auto"/>
          <w:sz w:val="32"/>
          <w:szCs w:val="32"/>
          <w:highlight w:val="none"/>
        </w:rPr>
        <w:t>一、</w:t>
      </w:r>
      <w:r>
        <w:rPr>
          <w:rFonts w:hint="default" w:ascii="Times New Roman" w:hAnsi="Times New Roman" w:eastAsia="黑体" w:cs="Times New Roman"/>
          <w:b w:val="0"/>
          <w:bCs w:val="0"/>
          <w:color w:val="auto"/>
          <w:sz w:val="32"/>
          <w:szCs w:val="32"/>
          <w:highlight w:val="none"/>
          <w:lang w:val="zh-CN"/>
        </w:rPr>
        <w:t>项目概况</w:t>
      </w:r>
    </w:p>
    <w:p>
      <w:pPr>
        <w:pStyle w:val="37"/>
        <w:keepNext w:val="0"/>
        <w:keepLines w:val="0"/>
        <w:pageBreakBefore w:val="0"/>
        <w:kinsoku/>
        <w:wordWrap/>
        <w:overflowPunct/>
        <w:topLinePunct w:val="0"/>
        <w:autoSpaceDE/>
        <w:autoSpaceDN/>
        <w:bidi w:val="0"/>
        <w:spacing w:line="576" w:lineRule="exact"/>
        <w:ind w:firstLine="640"/>
        <w:textAlignment w:val="auto"/>
        <w:rPr>
          <w:rFonts w:hint="default" w:ascii="Times New Roman" w:hAnsi="Times New Roman" w:eastAsia="楷体_GB2312" w:cs="Times New Roman"/>
          <w:b w:val="0"/>
          <w:bCs w:val="0"/>
          <w:color w:val="auto"/>
          <w:sz w:val="32"/>
          <w:szCs w:val="32"/>
          <w:highlight w:val="none"/>
          <w:u w:val="none"/>
          <w:lang w:val="zh-CN"/>
        </w:rPr>
      </w:pPr>
      <w:r>
        <w:rPr>
          <w:rFonts w:hint="default" w:ascii="Times New Roman" w:hAnsi="Times New Roman" w:eastAsia="楷体_GB2312" w:cs="Times New Roman"/>
          <w:b w:val="0"/>
          <w:bCs w:val="0"/>
          <w:color w:val="auto"/>
          <w:sz w:val="32"/>
          <w:szCs w:val="32"/>
          <w:highlight w:val="none"/>
          <w:u w:val="none"/>
          <w:lang w:val="zh-CN"/>
        </w:rPr>
        <w:t>（一）设立背景及基本情况</w:t>
      </w:r>
    </w:p>
    <w:p>
      <w:pPr>
        <w:pStyle w:val="37"/>
        <w:keepNext w:val="0"/>
        <w:keepLines w:val="0"/>
        <w:pageBreakBefore w:val="0"/>
        <w:kinsoku/>
        <w:wordWrap/>
        <w:overflowPunct/>
        <w:topLinePunct w:val="0"/>
        <w:autoSpaceDE/>
        <w:autoSpaceDN/>
        <w:bidi w:val="0"/>
        <w:spacing w:line="576"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1.设立背景。2021年9月，四川省档案局印发《关于公布数字档案馆建设试点单位的通知》（川档函〔2021〕26号）,明确我馆为全省首批数字档案馆建设试点单位，要求在2025年前完成试点任务。</w:t>
      </w:r>
      <w:r>
        <w:rPr>
          <w:rFonts w:hint="eastAsia" w:ascii="仿宋_GB2312" w:hAnsi="仿宋_GB2312" w:eastAsia="仿宋_GB2312" w:cs="仿宋_GB2312"/>
          <w:sz w:val="32"/>
          <w:szCs w:val="32"/>
        </w:rPr>
        <w:t>同时，推进档案信息化建设相继被纳入《</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"https://www.cngy.gov.cn/gongkai/show/20210322155645-46210-00-000.html" \t "https://www.cngy.gov.cn/gongkai/jichu/_blank" \o "广元市国民经济和社会发展第十四个五年规划和二〇三五年远景目标纲要"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广元市国民经济和社会发展第十四个五年规划和二</w:t>
      </w:r>
      <w:r>
        <w:rPr>
          <w:rFonts w:hint="eastAsia" w:ascii="仿宋_GB2312" w:hAnsi="仿宋_GB2312" w:eastAsia="仿宋_GB2312" w:cs="仿宋_GB2312"/>
          <w:sz w:val="32"/>
          <w:szCs w:val="32"/>
          <w:lang w:eastAsia="zh-CN"/>
        </w:rPr>
        <w:t>〇</w:t>
      </w:r>
      <w:r>
        <w:rPr>
          <w:rFonts w:hint="eastAsia" w:ascii="仿宋_GB2312" w:hAnsi="仿宋_GB2312" w:eastAsia="仿宋_GB2312" w:cs="仿宋_GB2312"/>
          <w:sz w:val="32"/>
          <w:szCs w:val="32"/>
        </w:rPr>
        <w:t>三五年远景目标纲要</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》《广元市“十四五”数字政府建设规划》中，要求加快推进数字档案馆的建设。</w:t>
      </w:r>
      <w:r>
        <w:rPr>
          <w:rFonts w:hint="eastAsia" w:ascii="仿宋_GB2312" w:hAnsi="仿宋_GB2312" w:eastAsia="仿宋_GB2312" w:cs="仿宋_GB2312"/>
          <w:b w:val="0"/>
          <w:bCs w:val="0"/>
          <w:sz w:val="32"/>
          <w:szCs w:val="32"/>
          <w:lang w:val="en-US" w:eastAsia="zh-CN"/>
        </w:rPr>
        <w:t>2021年,我馆通过比选方式确定了设计公司，在多次摸排馆内信息化设施现状及建设需求的基础上，对数字档案馆建设进行专业设计，并邀请省、市相关专家进行多轮论证。2022年，项目</w:t>
      </w:r>
      <w:r>
        <w:rPr>
          <w:rFonts w:hint="eastAsia" w:ascii="仿宋_GB2312" w:hAnsi="仿宋_GB2312" w:eastAsia="仿宋_GB2312" w:cs="仿宋_GB2312"/>
          <w:b w:val="0"/>
          <w:bCs w:val="0"/>
          <w:color w:val="auto"/>
          <w:sz w:val="32"/>
          <w:szCs w:val="32"/>
          <w:lang w:eastAsia="zh-CN"/>
        </w:rPr>
        <w:t>经市人民政府批准实施</w:t>
      </w:r>
      <w:r>
        <w:rPr>
          <w:rFonts w:hint="eastAsia" w:ascii="仿宋_GB2312" w:hAnsi="仿宋_GB2312" w:eastAsia="仿宋_GB2312" w:cs="仿宋_GB2312"/>
          <w:b w:val="0"/>
          <w:bCs w:val="0"/>
          <w:sz w:val="32"/>
          <w:szCs w:val="32"/>
          <w:lang w:val="en-US" w:eastAsia="zh-CN"/>
        </w:rPr>
        <w:t>。根据《广元市市级政务信息化项目管理办法（试行）》《广元市政务信息化专项资金管理办法（试行）》要求,建设方案先后通过了市经信局技术论证、市发改委立项评审和市财政局财政评审，获批财政预算资金856.23万元。</w:t>
      </w:r>
    </w:p>
    <w:p>
      <w:pPr>
        <w:pStyle w:val="37"/>
        <w:keepNext w:val="0"/>
        <w:keepLines w:val="0"/>
        <w:pageBreakBefore w:val="0"/>
        <w:kinsoku/>
        <w:wordWrap/>
        <w:overflowPunct/>
        <w:topLinePunct w:val="0"/>
        <w:autoSpaceDE/>
        <w:autoSpaceDN/>
        <w:bidi w:val="0"/>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2.基本情况。我馆数字档案馆建设</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统一规划，分步实施</w:t>
      </w:r>
      <w:r>
        <w:rPr>
          <w:rFonts w:hint="eastAsia" w:ascii="仿宋_GB2312" w:hAnsi="仿宋_GB2312" w:eastAsia="仿宋_GB2312" w:cs="仿宋_GB2312"/>
          <w:sz w:val="32"/>
          <w:szCs w:val="32"/>
          <w:lang w:eastAsia="zh-CN"/>
        </w:rPr>
        <w:t>的思路建设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分为</w:t>
      </w:r>
      <w:r>
        <w:rPr>
          <w:rFonts w:hint="eastAsia" w:ascii="仿宋_GB2312" w:hAnsi="仿宋_GB2312" w:eastAsia="仿宋_GB2312" w:cs="仿宋_GB2312"/>
          <w:sz w:val="32"/>
          <w:szCs w:val="32"/>
        </w:rPr>
        <w:t>基础设施建设(包含网络基础设施、终端及辅助设备、档案库房环境检测系统、音视频采集数字化系)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档案数字资源质量提升</w:t>
      </w:r>
      <w:r>
        <w:rPr>
          <w:rFonts w:hint="eastAsia" w:ascii="仿宋_GB2312" w:hAnsi="仿宋_GB2312" w:eastAsia="仿宋_GB2312" w:cs="仿宋_GB2312"/>
          <w:sz w:val="32"/>
          <w:szCs w:val="32"/>
          <w:lang w:eastAsia="zh-CN"/>
        </w:rPr>
        <w:t>、软硬件配套设施设备</w:t>
      </w:r>
      <w:r>
        <w:rPr>
          <w:rFonts w:hint="eastAsia" w:ascii="仿宋_GB2312" w:hAnsi="仿宋_GB2312" w:eastAsia="仿宋_GB2312" w:cs="仿宋_GB2312"/>
          <w:sz w:val="32"/>
          <w:szCs w:val="32"/>
        </w:rPr>
        <w:t>采购(包含系统硬件、基础软件、安全保障系统)</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个子项目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2023年完成基础设施建设，实施</w:t>
      </w:r>
      <w:r>
        <w:rPr>
          <w:rFonts w:hint="eastAsia" w:ascii="仿宋_GB2312" w:hAnsi="仿宋_GB2312" w:eastAsia="仿宋_GB2312" w:cs="仿宋_GB2312"/>
          <w:sz w:val="32"/>
          <w:szCs w:val="32"/>
        </w:rPr>
        <w:t>档案数字资源质量提升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通过比选的方式确定了项目监理单位、运维单位；</w:t>
      </w:r>
      <w:r>
        <w:rPr>
          <w:rFonts w:hint="eastAsia" w:ascii="仿宋_GB2312" w:hAnsi="仿宋_GB2312" w:eastAsia="仿宋_GB2312" w:cs="仿宋_GB2312"/>
          <w:sz w:val="32"/>
          <w:szCs w:val="32"/>
          <w:lang w:val="en-US" w:eastAsia="zh-CN"/>
        </w:rPr>
        <w:t>2024年完成</w:t>
      </w:r>
      <w:r>
        <w:rPr>
          <w:rFonts w:hint="eastAsia" w:ascii="仿宋_GB2312" w:hAnsi="仿宋_GB2312" w:eastAsia="仿宋_GB2312" w:cs="仿宋_GB2312"/>
          <w:sz w:val="32"/>
          <w:szCs w:val="32"/>
        </w:rPr>
        <w:t>档案数字资源质量提升</w:t>
      </w:r>
      <w:r>
        <w:rPr>
          <w:rFonts w:hint="eastAsia" w:ascii="仿宋_GB2312" w:hAnsi="仿宋_GB2312" w:eastAsia="仿宋_GB2312" w:cs="仿宋_GB2312"/>
          <w:sz w:val="32"/>
          <w:szCs w:val="32"/>
          <w:lang w:eastAsia="zh-CN"/>
        </w:rPr>
        <w:t>，通</w:t>
      </w:r>
      <w:r>
        <w:rPr>
          <w:rFonts w:hint="eastAsia" w:ascii="仿宋_GB2312" w:hAnsi="仿宋_GB2312" w:eastAsia="仿宋_GB2312" w:cs="仿宋_GB2312"/>
          <w:b w:val="0"/>
          <w:bCs w:val="0"/>
          <w:sz w:val="32"/>
          <w:szCs w:val="32"/>
          <w:lang w:val="en-US" w:eastAsia="zh-CN"/>
        </w:rPr>
        <w:t>过比选的方式确定了项目审计单位</w:t>
      </w:r>
      <w:r>
        <w:rPr>
          <w:rFonts w:hint="eastAsia" w:ascii="仿宋_GB2312" w:hAnsi="仿宋_GB2312" w:eastAsia="仿宋_GB2312" w:cs="仿宋_GB2312"/>
          <w:sz w:val="32"/>
          <w:szCs w:val="32"/>
          <w:lang w:val="en-US" w:eastAsia="zh-CN"/>
        </w:rPr>
        <w:t>。</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
        </w:rPr>
      </w:pPr>
      <w:r>
        <w:rPr>
          <w:rFonts w:hint="default" w:ascii="Times New Roman" w:hAnsi="Times New Roman" w:eastAsia="楷体_GB2312" w:cs="Times New Roman"/>
          <w:b w:val="0"/>
          <w:bCs w:val="0"/>
          <w:color w:val="auto"/>
          <w:sz w:val="32"/>
          <w:szCs w:val="32"/>
          <w:highlight w:val="none"/>
          <w:u w:val="none"/>
          <w:lang w:val="zh-CN"/>
        </w:rPr>
        <w:t>（二）</w:t>
      </w:r>
      <w:r>
        <w:rPr>
          <w:rFonts w:hint="default" w:ascii="Times New Roman" w:hAnsi="Times New Roman" w:eastAsia="楷体_GB2312" w:cs="Times New Roman"/>
          <w:b w:val="0"/>
          <w:bCs w:val="0"/>
          <w:color w:val="auto"/>
          <w:sz w:val="32"/>
          <w:szCs w:val="32"/>
          <w:highlight w:val="none"/>
          <w:u w:val="none"/>
          <w:lang w:val="en-US" w:eastAsia="zh-CN"/>
        </w:rPr>
        <w:t>实施目的及支持方向。</w:t>
      </w:r>
      <w:r>
        <w:rPr>
          <w:rFonts w:hint="eastAsia" w:ascii="仿宋_GB2312" w:hAnsi="仿宋_GB2312" w:eastAsia="仿宋_GB2312" w:cs="仿宋_GB2312"/>
          <w:b w:val="0"/>
          <w:bCs w:val="0"/>
          <w:kern w:val="2"/>
          <w:sz w:val="32"/>
          <w:szCs w:val="32"/>
          <w:lang w:val="en-US" w:eastAsia="zh-CN" w:bidi="ar-SA"/>
        </w:rPr>
        <w:t>本项目实施目的是通过基础设施建设、档案数字资源质量提升、软硬件配套设施设备采购，‌推动档案工作信息化、‌标准化和规范化建设再上台阶，最终建成高水平数字档案馆，向社会公众提供更加高效、便捷的查档服务。</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default" w:ascii="Times New Roman" w:hAnsi="Times New Roman" w:eastAsia="楷体_GB2312" w:cs="Times New Roman"/>
          <w:b w:val="0"/>
          <w:bCs w:val="0"/>
          <w:color w:val="auto"/>
          <w:sz w:val="32"/>
          <w:szCs w:val="32"/>
          <w:highlight w:val="none"/>
          <w:u w:val="none"/>
          <w:lang w:val="zh-CN" w:eastAsia="zh-CN"/>
        </w:rPr>
        <w:t>（三）</w:t>
      </w:r>
      <w:r>
        <w:rPr>
          <w:rFonts w:hint="default" w:ascii="Times New Roman" w:hAnsi="Times New Roman" w:eastAsia="楷体_GB2312" w:cs="Times New Roman"/>
          <w:b w:val="0"/>
          <w:bCs w:val="0"/>
          <w:color w:val="auto"/>
          <w:sz w:val="32"/>
          <w:szCs w:val="32"/>
          <w:highlight w:val="none"/>
          <w:u w:val="none"/>
          <w:lang w:val="en-US" w:eastAsia="zh-CN"/>
        </w:rPr>
        <w:t>预算安排及分配管理</w:t>
      </w:r>
      <w:r>
        <w:rPr>
          <w:rFonts w:hint="default" w:ascii="Times New Roman" w:hAnsi="Times New Roman" w:eastAsia="楷体_GB2312" w:cs="Times New Roman"/>
          <w:b w:val="0"/>
          <w:bCs w:val="0"/>
          <w:color w:val="auto"/>
          <w:sz w:val="32"/>
          <w:szCs w:val="32"/>
          <w:highlight w:val="none"/>
          <w:u w:val="none"/>
          <w:lang w:val="zh-CN" w:eastAsia="zh-CN"/>
        </w:rPr>
        <w:t>。</w:t>
      </w:r>
      <w:r>
        <w:rPr>
          <w:rFonts w:hint="eastAsia" w:ascii="仿宋_GB2312" w:hAnsi="仿宋_GB2312" w:eastAsia="仿宋_GB2312" w:cs="仿宋_GB2312"/>
          <w:b w:val="0"/>
          <w:bCs w:val="0"/>
          <w:kern w:val="2"/>
          <w:sz w:val="32"/>
          <w:szCs w:val="32"/>
          <w:lang w:val="en-US" w:eastAsia="zh-CN" w:bidi="ar-SA"/>
        </w:rPr>
        <w:t>2024年，根据工作需要，我馆本着真正过紧日子的原则，厉行节约、精打细算，从严从紧控制预算安排，共申报项目资金311万元，其中数字档案馆建设项目（软硬件设备采购）费用240.56万元、档案数字资源质量提升项目费用58.62万元、运行维护费6万元、监理费2.32万元、审计费1.5万元、建设单位管理费2万元。</w:t>
      </w:r>
    </w:p>
    <w:p>
      <w:pPr>
        <w:keepNext w:val="0"/>
        <w:keepLines w:val="0"/>
        <w:pageBreakBefore w:val="0"/>
        <w:kinsoku/>
        <w:wordWrap/>
        <w:overflowPunct/>
        <w:topLinePunct w:val="0"/>
        <w:autoSpaceDE/>
        <w:autoSpaceDN/>
        <w:bidi w:val="0"/>
        <w:snapToGrid w:val="0"/>
        <w:spacing w:line="576"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default" w:ascii="Times New Roman" w:hAnsi="Times New Roman" w:eastAsia="楷体_GB2312" w:cs="Times New Roman"/>
          <w:b w:val="0"/>
          <w:bCs w:val="0"/>
          <w:color w:val="auto"/>
          <w:sz w:val="32"/>
          <w:szCs w:val="32"/>
          <w:highlight w:val="none"/>
          <w:u w:val="none"/>
          <w:lang w:val="zh-CN" w:eastAsia="zh-CN"/>
        </w:rPr>
        <w:t>（四）项目绩效目标设置。</w:t>
      </w:r>
      <w:r>
        <w:rPr>
          <w:rFonts w:hint="eastAsia" w:ascii="仿宋_GB2312" w:hAnsi="仿宋_GB2312" w:eastAsia="仿宋_GB2312" w:cs="仿宋_GB2312"/>
          <w:b w:val="0"/>
          <w:bCs w:val="0"/>
          <w:kern w:val="2"/>
          <w:sz w:val="32"/>
          <w:szCs w:val="32"/>
          <w:lang w:val="en-US" w:eastAsia="zh-CN" w:bidi="ar-SA"/>
        </w:rPr>
        <w:t>2024年项目绩效目标设置分为项目完成、项目效益、满意度指标等3个一级指标，数量指标、质量指标、时效指标等7个二级指标，硬件采购（服务器）数量、软硬件验收合格率、项目完成时间等24个三级指标，绩效指标设计科学合理，预算项目绩效评估工作可按照绩效目标指标开展自评自查工作，有利于推进工作开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rPr>
        <w:t>二、</w:t>
      </w:r>
      <w:r>
        <w:rPr>
          <w:rFonts w:hint="default" w:ascii="Times New Roman" w:hAnsi="Times New Roman" w:eastAsia="黑体" w:cs="Times New Roman"/>
          <w:b w:val="0"/>
          <w:bCs w:val="0"/>
          <w:color w:val="auto"/>
          <w:sz w:val="32"/>
          <w:szCs w:val="32"/>
          <w:highlight w:val="none"/>
          <w:lang w:eastAsia="zh-CN"/>
        </w:rPr>
        <w:t>评价实施</w:t>
      </w:r>
    </w:p>
    <w:p>
      <w:pPr>
        <w:keepNext w:val="0"/>
        <w:keepLines w:val="0"/>
        <w:pageBreakBefore w:val="0"/>
        <w:kinsoku/>
        <w:wordWrap/>
        <w:overflowPunct/>
        <w:topLinePunct w:val="0"/>
        <w:autoSpaceDE/>
        <w:autoSpaceDN/>
        <w:bidi w:val="0"/>
        <w:snapToGrid w:val="0"/>
        <w:spacing w:line="576" w:lineRule="exact"/>
        <w:ind w:firstLine="640" w:firstLineChars="200"/>
        <w:jc w:val="left"/>
        <w:textAlignment w:val="auto"/>
        <w:rPr>
          <w:rFonts w:hint="default" w:ascii="仿宋_GB2312" w:hAnsi="仿宋_GB2312" w:eastAsia="仿宋_GB2312" w:cs="仿宋_GB2312"/>
          <w:b w:val="0"/>
          <w:bCs w:val="0"/>
          <w:kern w:val="2"/>
          <w:sz w:val="32"/>
          <w:szCs w:val="32"/>
          <w:lang w:val="en-US" w:eastAsia="zh-CN" w:bidi="ar-SA"/>
        </w:rPr>
      </w:pPr>
      <w:r>
        <w:rPr>
          <w:rFonts w:hint="default" w:ascii="Times New Roman" w:hAnsi="Times New Roman" w:eastAsia="楷体_GB2312" w:cs="Times New Roman"/>
          <w:b w:val="0"/>
          <w:bCs w:val="0"/>
          <w:color w:val="auto"/>
          <w:sz w:val="32"/>
          <w:szCs w:val="32"/>
          <w:highlight w:val="none"/>
          <w:u w:val="none"/>
          <w:lang w:val="zh-CN"/>
        </w:rPr>
        <w:t>（一）评价目的。</w:t>
      </w:r>
      <w:r>
        <w:rPr>
          <w:rFonts w:hint="default" w:ascii="仿宋_GB2312" w:hAnsi="仿宋_GB2312" w:eastAsia="仿宋_GB2312" w:cs="仿宋_GB2312"/>
          <w:b w:val="0"/>
          <w:bCs w:val="0"/>
          <w:kern w:val="2"/>
          <w:sz w:val="32"/>
          <w:szCs w:val="32"/>
          <w:lang w:val="en-US" w:eastAsia="zh-CN" w:bidi="ar-SA"/>
        </w:rPr>
        <w:t>通过项目绩效自评</w:t>
      </w:r>
      <w:r>
        <w:rPr>
          <w:rFonts w:hint="eastAsia" w:ascii="仿宋_GB2312" w:hAnsi="仿宋_GB2312" w:eastAsia="仿宋_GB2312" w:cs="仿宋_GB2312"/>
          <w:b w:val="0"/>
          <w:bCs w:val="0"/>
          <w:kern w:val="2"/>
          <w:sz w:val="32"/>
          <w:szCs w:val="32"/>
          <w:lang w:val="en-US" w:eastAsia="zh-CN" w:bidi="ar-SA"/>
        </w:rPr>
        <w:t>，提高预算编制科学性、合理性，优化财政支出结构，从源头上防控财政资源配置的低效无效，提高财政资源配置效率和财政资金使用效益。</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outlineLvl w:val="9"/>
        <w:rPr>
          <w:rFonts w:hint="default" w:ascii="Times New Roman" w:hAnsi="Times New Roman" w:cs="Times New Roman"/>
          <w:b w:val="0"/>
          <w:bCs w:val="0"/>
          <w:color w:val="0000FF"/>
          <w:sz w:val="32"/>
          <w:szCs w:val="32"/>
          <w:lang w:eastAsia="zh-CN"/>
        </w:rPr>
      </w:pPr>
      <w:r>
        <w:rPr>
          <w:rFonts w:hint="default" w:ascii="Times New Roman" w:hAnsi="Times New Roman" w:eastAsia="楷体_GB2312" w:cs="Times New Roman"/>
          <w:b w:val="0"/>
          <w:bCs w:val="0"/>
          <w:color w:val="auto"/>
          <w:sz w:val="32"/>
          <w:szCs w:val="32"/>
          <w:highlight w:val="none"/>
          <w:u w:val="none"/>
          <w:lang w:val="zh-CN"/>
        </w:rPr>
        <w:t>（二）预设问题及评价重点。</w:t>
      </w:r>
      <w:r>
        <w:rPr>
          <w:rFonts w:hint="eastAsia" w:ascii="仿宋_GB2312" w:hAnsi="仿宋_GB2312" w:eastAsia="仿宋_GB2312" w:cs="仿宋_GB2312"/>
          <w:b w:val="0"/>
          <w:bCs w:val="0"/>
          <w:kern w:val="2"/>
          <w:sz w:val="32"/>
          <w:szCs w:val="32"/>
          <w:lang w:val="zh-CN" w:eastAsia="zh-CN" w:bidi="ar-SA"/>
        </w:rPr>
        <w:t>按照绩效评价指标体系，该项资金用于数字档案馆软硬件配套设施设备采购、</w:t>
      </w:r>
      <w:r>
        <w:rPr>
          <w:rFonts w:hint="eastAsia" w:ascii="仿宋_GB2312" w:hAnsi="仿宋_GB2312" w:eastAsia="仿宋_GB2312" w:cs="仿宋_GB2312"/>
          <w:b w:val="0"/>
          <w:bCs w:val="0"/>
          <w:kern w:val="2"/>
          <w:sz w:val="32"/>
          <w:szCs w:val="32"/>
          <w:lang w:val="en-US" w:eastAsia="zh-CN" w:bidi="ar-SA"/>
        </w:rPr>
        <w:t>档案数字资源质量提升项目、</w:t>
      </w:r>
      <w:r>
        <w:rPr>
          <w:rFonts w:hint="eastAsia" w:ascii="仿宋_GB2312" w:hAnsi="仿宋_GB2312" w:eastAsia="仿宋_GB2312" w:cs="仿宋_GB2312"/>
          <w:b w:val="0"/>
          <w:bCs w:val="0"/>
          <w:kern w:val="2"/>
          <w:sz w:val="32"/>
          <w:szCs w:val="32"/>
          <w:lang w:val="zh-CN" w:eastAsia="zh-CN" w:bidi="ar-SA"/>
        </w:rPr>
        <w:t>监理服务、审计服务、运维服务等费用支出</w:t>
      </w:r>
      <w:r>
        <w:rPr>
          <w:rFonts w:hint="eastAsia" w:ascii="仿宋_GB2312" w:hAnsi="仿宋_GB2312" w:eastAsia="仿宋_GB2312" w:cs="仿宋_GB2312"/>
          <w:b w:val="0"/>
          <w:bCs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outlineLvl w:val="9"/>
        <w:rPr>
          <w:rFonts w:hint="default" w:ascii="Times New Roman" w:hAnsi="Times New Roman" w:cs="Times New Roman"/>
          <w:b w:val="0"/>
          <w:bCs w:val="0"/>
          <w:color w:val="auto"/>
          <w:sz w:val="32"/>
          <w:szCs w:val="32"/>
          <w:lang w:val="zh-CN" w:eastAsia="zh-CN"/>
        </w:rPr>
      </w:pPr>
      <w:r>
        <w:rPr>
          <w:rFonts w:hint="default" w:ascii="Times New Roman" w:hAnsi="Times New Roman" w:eastAsia="楷体_GB2312" w:cs="Times New Roman"/>
          <w:b w:val="0"/>
          <w:bCs w:val="0"/>
          <w:color w:val="auto"/>
          <w:sz w:val="32"/>
          <w:szCs w:val="32"/>
          <w:highlight w:val="none"/>
          <w:u w:val="none"/>
          <w:lang w:val="zh-CN"/>
        </w:rPr>
        <w:t>（三）评价选点。</w:t>
      </w:r>
      <w:r>
        <w:rPr>
          <w:rFonts w:hint="eastAsia" w:ascii="仿宋_GB2312" w:hAnsi="仿宋_GB2312" w:eastAsia="仿宋_GB2312" w:cs="仿宋_GB2312"/>
          <w:b w:val="0"/>
          <w:bCs w:val="0"/>
          <w:kern w:val="2"/>
          <w:sz w:val="32"/>
          <w:szCs w:val="32"/>
          <w:lang w:val="zh-CN" w:eastAsia="zh-CN" w:bidi="ar-SA"/>
        </w:rPr>
        <w:t>本</w:t>
      </w:r>
      <w:r>
        <w:rPr>
          <w:rFonts w:hint="default" w:ascii="仿宋_GB2312" w:hAnsi="仿宋_GB2312" w:eastAsia="仿宋_GB2312" w:cs="仿宋_GB2312"/>
          <w:b w:val="0"/>
          <w:bCs w:val="0"/>
          <w:kern w:val="2"/>
          <w:sz w:val="32"/>
          <w:szCs w:val="32"/>
          <w:lang w:val="zh-CN" w:eastAsia="zh-CN" w:bidi="ar-SA"/>
        </w:rPr>
        <w:t>项目绩效</w:t>
      </w:r>
      <w:r>
        <w:rPr>
          <w:rFonts w:hint="eastAsia" w:ascii="仿宋_GB2312" w:hAnsi="仿宋_GB2312" w:eastAsia="仿宋_GB2312" w:cs="仿宋_GB2312"/>
          <w:b w:val="0"/>
          <w:bCs w:val="0"/>
          <w:kern w:val="2"/>
          <w:sz w:val="32"/>
          <w:szCs w:val="32"/>
          <w:lang w:val="zh-CN" w:eastAsia="zh-CN" w:bidi="ar-SA"/>
        </w:rPr>
        <w:t>自评主要是在项目建设地，即广元市档案馆内开展实地勘察、绩效评价。</w:t>
      </w:r>
    </w:p>
    <w:p>
      <w:pPr>
        <w:keepNext w:val="0"/>
        <w:keepLines w:val="0"/>
        <w:pageBreakBefore w:val="0"/>
        <w:kinsoku/>
        <w:wordWrap/>
        <w:overflowPunct/>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default" w:ascii="Times New Roman" w:hAnsi="Times New Roman" w:eastAsia="楷体_GB2312" w:cs="Times New Roman"/>
          <w:b w:val="0"/>
          <w:bCs w:val="0"/>
          <w:color w:val="auto"/>
          <w:sz w:val="32"/>
          <w:szCs w:val="32"/>
          <w:highlight w:val="none"/>
          <w:u w:val="none"/>
          <w:lang w:val="zh-CN"/>
        </w:rPr>
        <w:t>（四）评价方法。</w:t>
      </w:r>
      <w:r>
        <w:rPr>
          <w:rFonts w:hint="eastAsia" w:ascii="仿宋_GB2312" w:hAnsi="仿宋_GB2312" w:eastAsia="仿宋_GB2312" w:cs="仿宋_GB2312"/>
          <w:b w:val="0"/>
          <w:bCs w:val="0"/>
          <w:kern w:val="2"/>
          <w:sz w:val="32"/>
          <w:szCs w:val="32"/>
          <w:lang w:val="en-US" w:eastAsia="zh-CN" w:bidi="ar-SA"/>
        </w:rPr>
        <w:t>通过与项目相关人员座谈讨论、咨询相关专业专家、实地勘察等方法了解项目情况，收集相关资料，综合分析相关情况后，对项目的立项必要性、投入经济性、目标合理性、方案可行性以及筹资合规性实施评估。</w:t>
      </w:r>
    </w:p>
    <w:p>
      <w:pPr>
        <w:keepNext w:val="0"/>
        <w:keepLines w:val="0"/>
        <w:pageBreakBefore w:val="0"/>
        <w:widowControl w:val="0"/>
        <w:shd w:val="clear" w:color="auto" w:fill="auto"/>
        <w:kinsoku/>
        <w:wordWrap/>
        <w:overflowPunct/>
        <w:topLinePunct w:val="0"/>
        <w:autoSpaceDE/>
        <w:autoSpaceDN/>
        <w:bidi w:val="0"/>
        <w:spacing w:line="576" w:lineRule="exact"/>
        <w:ind w:firstLine="640" w:firstLineChars="200"/>
        <w:textAlignment w:val="auto"/>
        <w:outlineLvl w:val="9"/>
        <w:rPr>
          <w:rFonts w:hint="eastAsia" w:ascii="仿宋_GB2312" w:hAnsi="仿宋_GB2312" w:eastAsia="仿宋_GB2312" w:cs="仿宋_GB2312"/>
          <w:b w:val="0"/>
          <w:bCs w:val="0"/>
          <w:sz w:val="32"/>
          <w:szCs w:val="32"/>
          <w:lang w:eastAsia="zh-CN"/>
        </w:rPr>
      </w:pPr>
      <w:r>
        <w:rPr>
          <w:rFonts w:hint="default" w:ascii="Times New Roman" w:hAnsi="Times New Roman" w:eastAsia="楷体_GB2312" w:cs="Times New Roman"/>
          <w:b w:val="0"/>
          <w:bCs w:val="0"/>
          <w:color w:val="auto"/>
          <w:sz w:val="32"/>
          <w:szCs w:val="32"/>
          <w:highlight w:val="none"/>
          <w:u w:val="none"/>
          <w:lang w:val="zh-CN"/>
        </w:rPr>
        <w:t>（五）评价组织。</w:t>
      </w:r>
      <w:r>
        <w:rPr>
          <w:rFonts w:hint="eastAsia" w:ascii="仿宋_GB2312" w:hAnsi="仿宋_GB2312" w:eastAsia="仿宋_GB2312" w:cs="仿宋_GB2312"/>
          <w:b w:val="0"/>
          <w:bCs w:val="0"/>
          <w:kern w:val="2"/>
          <w:sz w:val="32"/>
          <w:szCs w:val="32"/>
          <w:lang w:val="zh-CN" w:eastAsia="zh-CN" w:bidi="ar-SA"/>
        </w:rPr>
        <w:t>评价工作由办公室牵头，信息技术科具体负责，纪检委员共同参与</w:t>
      </w:r>
      <w:r>
        <w:rPr>
          <w:rFonts w:hint="eastAsia" w:ascii="仿宋_GB2312" w:hAnsi="仿宋_GB2312" w:eastAsia="仿宋_GB2312" w:cs="仿宋_GB2312"/>
          <w:b w:val="0"/>
          <w:bCs w:val="0"/>
          <w:kern w:val="2"/>
          <w:sz w:val="32"/>
          <w:szCs w:val="32"/>
          <w:lang w:val="en-US" w:eastAsia="zh-CN" w:bidi="ar-SA"/>
        </w:rPr>
        <w:t>，办公室负责绩效评价及复核，信息技术科负责资金申报，纪检委员全程监督。</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cs="Times New Roman"/>
          <w:b w:val="0"/>
          <w:bCs w:val="0"/>
          <w:color w:val="auto"/>
          <w:sz w:val="32"/>
          <w:szCs w:val="32"/>
          <w:highlight w:val="none"/>
          <w:u w:val="none"/>
          <w:lang w:val="zh-CN"/>
        </w:rPr>
      </w:pPr>
      <w:r>
        <w:rPr>
          <w:rFonts w:hint="default" w:ascii="Times New Roman" w:hAnsi="Times New Roman" w:eastAsia="黑体" w:cs="Times New Roman"/>
          <w:b w:val="0"/>
          <w:bCs w:val="0"/>
          <w:color w:val="auto"/>
          <w:sz w:val="32"/>
          <w:szCs w:val="32"/>
          <w:highlight w:val="none"/>
          <w:u w:val="none"/>
        </w:rPr>
        <w:t>三、</w:t>
      </w:r>
      <w:r>
        <w:rPr>
          <w:rFonts w:hint="default" w:ascii="Times New Roman" w:hAnsi="Times New Roman" w:eastAsia="黑体" w:cs="Times New Roman"/>
          <w:b w:val="0"/>
          <w:bCs w:val="0"/>
          <w:color w:val="auto"/>
          <w:sz w:val="32"/>
          <w:szCs w:val="32"/>
          <w:highlight w:val="none"/>
          <w:u w:val="none"/>
          <w:lang w:eastAsia="zh-CN"/>
        </w:rPr>
        <w:t>绩效分析</w:t>
      </w:r>
      <w:r>
        <w:rPr>
          <w:rFonts w:hint="default" w:ascii="Times New Roman" w:hAnsi="Times New Roman" w:cs="Times New Roman"/>
          <w:b w:val="0"/>
          <w:bCs w:val="0"/>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9"/>
        <w:rPr>
          <w:rFonts w:hint="default" w:ascii="Times New Roman" w:hAnsi="Times New Roman" w:eastAsia="楷体_GB2312" w:cs="Times New Roman"/>
          <w:b w:val="0"/>
          <w:bCs w:val="0"/>
          <w:color w:val="auto"/>
          <w:sz w:val="32"/>
          <w:szCs w:val="32"/>
          <w:highlight w:val="none"/>
          <w:u w:val="none"/>
          <w:lang w:val="en-US" w:eastAsia="zh-CN"/>
        </w:rPr>
      </w:pPr>
      <w:r>
        <w:rPr>
          <w:rFonts w:hint="default" w:ascii="Times New Roman" w:hAnsi="Times New Roman" w:eastAsia="楷体_GB2312" w:cs="Times New Roman"/>
          <w:b w:val="0"/>
          <w:bCs w:val="0"/>
          <w:color w:val="auto"/>
          <w:sz w:val="32"/>
          <w:szCs w:val="32"/>
          <w:highlight w:val="none"/>
          <w:u w:val="none"/>
          <w:lang w:val="zh-CN"/>
        </w:rPr>
        <w:t>（一）</w:t>
      </w:r>
      <w:r>
        <w:rPr>
          <w:rFonts w:hint="default" w:ascii="Times New Roman" w:hAnsi="Times New Roman" w:eastAsia="楷体_GB2312" w:cs="Times New Roman"/>
          <w:b w:val="0"/>
          <w:bCs w:val="0"/>
          <w:color w:val="auto"/>
          <w:sz w:val="32"/>
          <w:szCs w:val="32"/>
          <w:highlight w:val="none"/>
          <w:u w:val="none"/>
          <w:lang w:val="en-US" w:eastAsia="zh-CN"/>
        </w:rPr>
        <w:t>通用指标</w:t>
      </w:r>
      <w:r>
        <w:rPr>
          <w:rFonts w:hint="default" w:ascii="Times New Roman" w:hAnsi="Times New Roman" w:eastAsia="楷体_GB2312" w:cs="Times New Roman"/>
          <w:b w:val="0"/>
          <w:bCs w:val="0"/>
          <w:color w:val="auto"/>
          <w:kern w:val="0"/>
          <w:sz w:val="32"/>
          <w:szCs w:val="32"/>
          <w:highlight w:val="none"/>
          <w:shd w:val="clear" w:color="auto" w:fill="FFFFFF"/>
          <w:lang w:val="zh-CN"/>
        </w:rPr>
        <w:t>绩效分析。</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项目决策。</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项目涉及的重大问题均通过馆务会集体研究决定，项目招标文件均通过专家论证，确保决策程序规范民主、规划科学有序、资金投向透明。得分18分。</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项目管理。</w:t>
      </w:r>
      <w:r>
        <w:rPr>
          <w:rFonts w:hint="eastAsia" w:ascii="仿宋_GB2312" w:hAnsi="仿宋_GB2312" w:eastAsia="仿宋_GB2312" w:cs="仿宋_GB2312"/>
          <w:b w:val="0"/>
          <w:bCs/>
          <w:color w:val="000000"/>
          <w:kern w:val="2"/>
          <w:sz w:val="32"/>
          <w:szCs w:val="32"/>
          <w:lang w:val="en-US" w:eastAsia="zh-CN" w:bidi="ar-SA"/>
        </w:rPr>
        <w:t>成立了数字档案馆建设项目推进工作领导小组，组建了工作专班，明确工作职责，达成“三个一切”的工作共识（即一切工作围绕项目开展，一切工作为项目让路，一切工作为项目服务）；按要求完成项目预算绩效管理工作，研究制定《数字档案馆建设项目工作流程进度安排表》和《数字档案馆迎评工作责任分工表》，倒排工期，挂图作战，凝心聚力推进项目建设。得分18分。</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3.项目实施。财政资金拨付率为100%，单位资金使用率为22%，根据项目进度安排，我馆拟于2024年实施软硬件配套设施设备采购项目，但由于项目所采购的服务器、磁盘阵列等设备需与省局统一部署的软件适配，省局于2024年7月确定软件供应商，9月中旬印发《关于做好数字档案馆系统部署相关工作的通知》，对配发的软件的配置参数标准进行确定，随后我馆根据软件参数对所购设备进行调整，于同年11月18日发布采购意向公告，但当年未完成采购流程。除软硬件配套设施设备采购项目未按计划实施外，其余项目均</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严格按照合同要求和项目进度实施。得分6.6分。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4.项目结果。除软硬件配套设施设备采购项目未按计划完成绩效任务外，其余项目资金均</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按合同规定完成资金支付</w:t>
      </w:r>
      <w:r>
        <w:rPr>
          <w:rFonts w:hint="eastAsia" w:ascii="仿宋_GB2312" w:hAnsi="仿宋_GB2312" w:eastAsia="仿宋_GB2312" w:cs="仿宋_GB2312"/>
          <w:b w:val="0"/>
          <w:bCs w:val="0"/>
          <w:color w:val="auto"/>
          <w:sz w:val="32"/>
          <w:szCs w:val="32"/>
          <w:lang w:eastAsia="zh-CN"/>
        </w:rPr>
        <w:t>。得分</w:t>
      </w:r>
      <w:r>
        <w:rPr>
          <w:rFonts w:hint="eastAsia" w:ascii="仿宋_GB2312" w:hAnsi="仿宋_GB2312" w:eastAsia="仿宋_GB2312" w:cs="仿宋_GB2312"/>
          <w:b w:val="0"/>
          <w:bCs w:val="0"/>
          <w:color w:val="auto"/>
          <w:sz w:val="32"/>
          <w:szCs w:val="32"/>
          <w:lang w:val="en-US" w:eastAsia="zh-CN"/>
        </w:rPr>
        <w:t>3.06分。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default" w:ascii="Times New Roman" w:hAnsi="Times New Roman" w:eastAsia="楷体_GB2312" w:cs="Times New Roman"/>
          <w:b w:val="0"/>
          <w:bCs w:val="0"/>
          <w:color w:val="auto"/>
          <w:sz w:val="32"/>
          <w:szCs w:val="32"/>
          <w:highlight w:val="none"/>
          <w:u w:val="none"/>
          <w:lang w:val="zh-CN"/>
        </w:rPr>
        <w:t>（二）</w:t>
      </w:r>
      <w:r>
        <w:rPr>
          <w:rFonts w:hint="default" w:ascii="Times New Roman" w:hAnsi="Times New Roman" w:eastAsia="楷体_GB2312" w:cs="Times New Roman"/>
          <w:b w:val="0"/>
          <w:bCs w:val="0"/>
          <w:color w:val="auto"/>
          <w:sz w:val="32"/>
          <w:szCs w:val="32"/>
          <w:highlight w:val="none"/>
          <w:u w:val="none"/>
          <w:lang w:val="en-US" w:eastAsia="zh-CN"/>
        </w:rPr>
        <w:t>专用指标</w:t>
      </w:r>
      <w:r>
        <w:rPr>
          <w:rFonts w:hint="default" w:ascii="Times New Roman" w:hAnsi="Times New Roman" w:eastAsia="楷体_GB2312" w:cs="Times New Roman"/>
          <w:b w:val="0"/>
          <w:bCs w:val="0"/>
          <w:color w:val="auto"/>
          <w:kern w:val="0"/>
          <w:sz w:val="32"/>
          <w:szCs w:val="32"/>
          <w:highlight w:val="none"/>
          <w:shd w:val="clear" w:color="auto" w:fill="FFFFFF"/>
          <w:lang w:val="zh-CN"/>
        </w:rPr>
        <w:t>绩效分析。</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软硬件配套设施设备采购项目于2024年</w:t>
      </w:r>
      <w:r>
        <w:rPr>
          <w:rFonts w:hint="eastAsia" w:ascii="仿宋_GB2312" w:hAnsi="仿宋_GB2312" w:eastAsia="仿宋_GB2312" w:cs="仿宋_GB2312"/>
          <w:b w:val="0"/>
          <w:bCs/>
          <w:color w:val="000000"/>
          <w:kern w:val="2"/>
          <w:sz w:val="32"/>
          <w:szCs w:val="32"/>
          <w:lang w:val="en-US" w:eastAsia="zh-CN" w:bidi="ar-SA"/>
        </w:rPr>
        <w:t>11月18日发布采购意向公告，未完成采购工作；</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档案数字资源质量提升项目于2024年7月通过总体验收；监理服务费、审计服务费、运维服务费、建设单位管理费等均根据合同进度按时支付。项目进度未达计划进度的70%，财政资金为一次性下达，拨付率为100%，得分15分。</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9"/>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default" w:ascii="Times New Roman" w:hAnsi="Times New Roman" w:eastAsia="楷体_GB2312" w:cs="Times New Roman"/>
          <w:b w:val="0"/>
          <w:bCs w:val="0"/>
          <w:color w:val="auto"/>
          <w:sz w:val="32"/>
          <w:szCs w:val="32"/>
          <w:highlight w:val="none"/>
          <w:u w:val="none"/>
          <w:lang w:val="zh-CN"/>
        </w:rPr>
        <w:t>（三）</w:t>
      </w:r>
      <w:r>
        <w:rPr>
          <w:rFonts w:hint="default" w:ascii="Times New Roman" w:hAnsi="Times New Roman" w:eastAsia="楷体_GB2312" w:cs="Times New Roman"/>
          <w:b w:val="0"/>
          <w:bCs w:val="0"/>
          <w:color w:val="auto"/>
          <w:sz w:val="32"/>
          <w:szCs w:val="32"/>
          <w:highlight w:val="none"/>
          <w:u w:val="none"/>
          <w:lang w:val="en-US" w:eastAsia="zh-CN"/>
        </w:rPr>
        <w:t>个性指标</w:t>
      </w:r>
      <w:r>
        <w:rPr>
          <w:rFonts w:hint="default" w:ascii="Times New Roman" w:hAnsi="Times New Roman" w:eastAsia="楷体_GB2312" w:cs="Times New Roman"/>
          <w:b w:val="0"/>
          <w:bCs w:val="0"/>
          <w:color w:val="auto"/>
          <w:kern w:val="0"/>
          <w:sz w:val="32"/>
          <w:szCs w:val="32"/>
          <w:highlight w:val="none"/>
          <w:shd w:val="clear" w:color="auto" w:fill="FFFFFF"/>
          <w:lang w:val="zh-CN"/>
        </w:rPr>
        <w:t>绩效分析。</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档案资源数字化覆盖率达到</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95%以上，数字档案系统及安全保障机制未完成采购部署，得分8分。</w:t>
      </w:r>
    </w:p>
    <w:p>
      <w:pPr>
        <w:pStyle w:val="6"/>
        <w:keepNext w:val="0"/>
        <w:keepLines w:val="0"/>
        <w:pageBreakBefore w:val="0"/>
        <w:numPr>
          <w:ilvl w:val="0"/>
          <w:numId w:val="0"/>
        </w:numPr>
        <w:tabs>
          <w:tab w:val="left" w:pos="2160"/>
        </w:tabs>
        <w:kinsoku/>
        <w:wordWrap/>
        <w:overflowPunct/>
        <w:topLinePunct w:val="0"/>
        <w:autoSpaceDE/>
        <w:autoSpaceDN/>
        <w:bidi w:val="0"/>
        <w:adjustRightInd/>
        <w:spacing w:beforeLines="0" w:line="576"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eastAsia="zh-CN"/>
        </w:rPr>
        <w:t>四</w:t>
      </w:r>
      <w:r>
        <w:rPr>
          <w:rFonts w:hint="default" w:ascii="Times New Roman" w:hAnsi="Times New Roman" w:eastAsia="黑体" w:cs="Times New Roman"/>
          <w:b w:val="0"/>
          <w:bCs w:val="0"/>
          <w:color w:val="auto"/>
          <w:sz w:val="32"/>
          <w:szCs w:val="32"/>
          <w:highlight w:val="none"/>
          <w:u w:val="none"/>
        </w:rPr>
        <w:t>、评价结论</w:t>
      </w:r>
    </w:p>
    <w:p>
      <w:pPr>
        <w:pStyle w:val="6"/>
        <w:keepNext w:val="0"/>
        <w:keepLines w:val="0"/>
        <w:pageBreakBefore w:val="0"/>
        <w:numPr>
          <w:ilvl w:val="0"/>
          <w:numId w:val="0"/>
        </w:numPr>
        <w:shd w:val="clear" w:color="auto" w:fill="auto"/>
        <w:tabs>
          <w:tab w:val="left" w:pos="2160"/>
        </w:tabs>
        <w:kinsoku/>
        <w:wordWrap/>
        <w:overflowPunct/>
        <w:topLinePunct w:val="0"/>
        <w:autoSpaceDE/>
        <w:autoSpaceDN/>
        <w:bidi w:val="0"/>
        <w:adjustRightInd/>
        <w:spacing w:beforeLines="0" w:line="576"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综合前述评估内容来看，我馆数字档案馆建设项目立项必要性和依据充分，绩效目标明确，具备实施条件，具有公共性，符合财政资金支持方向。但受客观因素影响，2024年部分绩效指标未完成，经自查，绩效自评得分为69.51分</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w:t>
      </w:r>
    </w:p>
    <w:p>
      <w:pPr>
        <w:pStyle w:val="6"/>
        <w:keepNext w:val="0"/>
        <w:keepLines w:val="0"/>
        <w:pageBreakBefore w:val="0"/>
        <w:numPr>
          <w:ilvl w:val="0"/>
          <w:numId w:val="0"/>
        </w:numPr>
        <w:tabs>
          <w:tab w:val="left" w:pos="2160"/>
        </w:tabs>
        <w:kinsoku/>
        <w:wordWrap/>
        <w:overflowPunct/>
        <w:topLinePunct w:val="0"/>
        <w:autoSpaceDE/>
        <w:autoSpaceDN/>
        <w:bidi w:val="0"/>
        <w:adjustRightInd/>
        <w:spacing w:beforeLines="0" w:line="576" w:lineRule="exact"/>
        <w:ind w:firstLine="640" w:firstLineChars="200"/>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6"/>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cs="Times New Roman"/>
          <w:b w:val="0"/>
          <w:bCs w:val="0"/>
          <w:color w:val="auto"/>
          <w:kern w:val="2"/>
          <w:position w:val="0"/>
          <w:sz w:val="32"/>
          <w:szCs w:val="32"/>
          <w:highlight w:val="none"/>
          <w:lang w:val="en-US" w:eastAsia="zh-CN" w:bidi="ar-SA"/>
        </w:rPr>
      </w:pP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t>由于省上配发软件的配置参数标准延迟公布原因，导致数字档案馆配套软硬件设备采购工作未完成</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，该项目预算资金未支出</w:t>
      </w: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t>。</w:t>
      </w:r>
    </w:p>
    <w:p>
      <w:pPr>
        <w:pStyle w:val="6"/>
        <w:keepNext w:val="0"/>
        <w:keepLines w:val="0"/>
        <w:pageBreakBefore w:val="0"/>
        <w:numPr>
          <w:ilvl w:val="0"/>
          <w:numId w:val="0"/>
        </w:numPr>
        <w:tabs>
          <w:tab w:val="left" w:pos="2160"/>
        </w:tabs>
        <w:kinsoku/>
        <w:wordWrap/>
        <w:overflowPunct/>
        <w:topLinePunct w:val="0"/>
        <w:autoSpaceDE/>
        <w:autoSpaceDN/>
        <w:bidi w:val="0"/>
        <w:adjustRightInd/>
        <w:spacing w:beforeLines="0" w:line="576" w:lineRule="exact"/>
        <w:ind w:firstLine="640" w:firstLineChars="200"/>
        <w:textAlignment w:val="auto"/>
        <w:rPr>
          <w:rFonts w:hint="default" w:ascii="Times New Roman" w:hAnsi="Times New Roman" w:eastAsia="黑体" w:cs="Times New Roman"/>
          <w:b w:val="0"/>
          <w:bCs w:val="0"/>
          <w:color w:val="auto"/>
          <w:kern w:val="0"/>
          <w:position w:val="3"/>
          <w:sz w:val="32"/>
          <w:szCs w:val="32"/>
          <w:highlight w:val="none"/>
          <w:u w:val="none"/>
          <w:lang w:val="zh-CN" w:eastAsia="zh-CN" w:bidi="ar-SA"/>
        </w:rPr>
      </w:pPr>
      <w:r>
        <w:rPr>
          <w:rFonts w:hint="default" w:ascii="Times New Roman" w:hAnsi="Times New Roman" w:eastAsia="黑体" w:cs="Times New Roman"/>
          <w:b w:val="0"/>
          <w:bCs w:val="0"/>
          <w:color w:val="auto"/>
          <w:kern w:val="0"/>
          <w:position w:val="3"/>
          <w:sz w:val="32"/>
          <w:szCs w:val="32"/>
          <w:highlight w:val="none"/>
          <w:u w:val="none"/>
          <w:lang w:val="zh-CN" w:eastAsia="zh-CN" w:bidi="ar-SA"/>
        </w:rPr>
        <w:t>六、改进建议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当前，我馆软硬件配套设施设备采购项目已于2025年2月20日发布招标公告，3月13日开标，3月17日发布中标公告，3月26日与中标公司签订合同，力争在5月12日前完工进行软件布署。在今后的专项预算安排上，我馆将着眼长远，统筹谋划，进一步优化完</w:t>
      </w: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t>善实施方案</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和</w:t>
      </w: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t>绩效目标，</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加强运行监控，节约</w:t>
      </w: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t>财政资金并提升资金效益</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，提升预算绩效管理水平。</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91"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keepNext w:val="0"/>
        <w:keepLines w:val="0"/>
        <w:pageBreakBefore w:val="0"/>
        <w:widowControl/>
        <w:kinsoku/>
        <w:wordWrap/>
        <w:overflowPunct/>
        <w:topLinePunct w:val="0"/>
        <w:autoSpaceDE/>
        <w:autoSpaceDN/>
        <w:bidi w:val="0"/>
        <w:spacing w:line="576" w:lineRule="exact"/>
        <w:jc w:val="center"/>
        <w:textAlignment w:val="auto"/>
        <w:outlineLvl w:val="0"/>
        <w:rPr>
          <w:rFonts w:hint="eastAsia" w:ascii="Times New Roman" w:hAnsi="Times New Roman" w:eastAsia="仿宋"/>
          <w:b w:val="0"/>
          <w:color w:val="auto"/>
          <w:highlight w:val="none"/>
        </w:rPr>
      </w:pPr>
      <w:bookmarkStart w:id="92" w:name="_Toc131894900"/>
      <w:bookmarkStart w:id="93" w:name="_Toc77438990"/>
      <w:r>
        <w:rPr>
          <w:rFonts w:hint="eastAsia" w:ascii="Times New Roman" w:hAnsi="Times New Roman" w:eastAsia="黑体"/>
          <w:color w:val="auto"/>
          <w:sz w:val="44"/>
          <w:szCs w:val="44"/>
          <w:highlight w:val="none"/>
        </w:rPr>
        <w:t>第</w:t>
      </w:r>
      <w:r>
        <w:rPr>
          <w:rStyle w:val="21"/>
          <w:rFonts w:hint="eastAsia" w:ascii="Times New Roman" w:hAnsi="Times New Roman" w:eastAsia="黑体"/>
          <w:b w:val="0"/>
          <w:color w:val="auto"/>
          <w:highlight w:val="none"/>
        </w:rPr>
        <w:t>五部分</w:t>
      </w:r>
      <w:r>
        <w:rPr>
          <w:rStyle w:val="21"/>
          <w:rFonts w:hint="eastAsia" w:eastAsia="黑体"/>
          <w:b w:val="0"/>
          <w:color w:val="auto"/>
          <w:highlight w:val="none"/>
          <w:lang w:val="en-US" w:eastAsia="zh-CN"/>
        </w:rPr>
        <w:t xml:space="preserve"> </w:t>
      </w:r>
      <w:r>
        <w:rPr>
          <w:rStyle w:val="21"/>
          <w:rFonts w:hint="eastAsia" w:ascii="Times New Roman" w:hAnsi="Times New Roman" w:eastAsia="黑体"/>
          <w:b w:val="0"/>
          <w:color w:val="auto"/>
          <w:highlight w:val="none"/>
        </w:rPr>
        <w:t xml:space="preserve"> 附表</w:t>
      </w:r>
      <w:bookmarkEnd w:id="85"/>
      <w:bookmarkEnd w:id="91"/>
      <w:bookmarkEnd w:id="92"/>
      <w:bookmarkEnd w:id="93"/>
      <w:bookmarkStart w:id="94" w:name="_Toc15396619"/>
    </w:p>
    <w:p>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p>
    <w:p>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94"/>
    </w:p>
    <w:p>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95" w:name="_Toc15396620"/>
      <w:r>
        <w:rPr>
          <w:rFonts w:hint="eastAsia" w:ascii="Times New Roman" w:hAnsi="Times New Roman" w:eastAsia="仿宋_GB2312" w:cs="仿宋_GB2312"/>
          <w:color w:val="auto"/>
          <w:sz w:val="32"/>
          <w:szCs w:val="32"/>
          <w:highlight w:val="none"/>
        </w:rPr>
        <w:t>二、收入决算表</w:t>
      </w:r>
      <w:bookmarkEnd w:id="95"/>
    </w:p>
    <w:p>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96" w:name="_Toc15396621"/>
      <w:r>
        <w:rPr>
          <w:rFonts w:hint="eastAsia" w:ascii="Times New Roman" w:hAnsi="Times New Roman" w:eastAsia="仿宋_GB2312" w:cs="仿宋_GB2312"/>
          <w:color w:val="auto"/>
          <w:sz w:val="32"/>
          <w:szCs w:val="32"/>
          <w:highlight w:val="none"/>
        </w:rPr>
        <w:t>三、支出决算表</w:t>
      </w:r>
      <w:bookmarkEnd w:id="96"/>
    </w:p>
    <w:p>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97" w:name="_Toc15396622"/>
      <w:r>
        <w:rPr>
          <w:rFonts w:hint="eastAsia" w:ascii="Times New Roman" w:hAnsi="Times New Roman" w:eastAsia="仿宋_GB2312" w:cs="仿宋_GB2312"/>
          <w:color w:val="auto"/>
          <w:sz w:val="32"/>
          <w:szCs w:val="32"/>
          <w:highlight w:val="none"/>
        </w:rPr>
        <w:t>四、财政拨款收入支出决算总表</w:t>
      </w:r>
      <w:bookmarkEnd w:id="97"/>
    </w:p>
    <w:p>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98" w:name="_Toc15396623"/>
      <w:r>
        <w:rPr>
          <w:rFonts w:hint="eastAsia" w:ascii="Times New Roman" w:hAnsi="Times New Roman" w:eastAsia="仿宋_GB2312" w:cs="仿宋_GB2312"/>
          <w:color w:val="auto"/>
          <w:sz w:val="32"/>
          <w:szCs w:val="32"/>
          <w:highlight w:val="none"/>
        </w:rPr>
        <w:t>五、财政拨款支出决算明细表</w:t>
      </w:r>
      <w:bookmarkEnd w:id="98"/>
      <w:bookmarkStart w:id="99" w:name="_Toc15396624"/>
    </w:p>
    <w:p>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99"/>
    </w:p>
    <w:p>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100" w:name="_Toc15396625"/>
      <w:r>
        <w:rPr>
          <w:rFonts w:hint="eastAsia" w:ascii="Times New Roman" w:hAnsi="Times New Roman" w:eastAsia="仿宋_GB2312" w:cs="仿宋_GB2312"/>
          <w:color w:val="auto"/>
          <w:sz w:val="32"/>
          <w:szCs w:val="32"/>
          <w:highlight w:val="none"/>
        </w:rPr>
        <w:t>七、一般公共预算财政拨款支出决算明细表</w:t>
      </w:r>
      <w:bookmarkEnd w:id="100"/>
    </w:p>
    <w:p>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101" w:name="_Toc15396626"/>
      <w:r>
        <w:rPr>
          <w:rFonts w:hint="eastAsia" w:ascii="Times New Roman" w:hAnsi="Times New Roman" w:eastAsia="仿宋_GB2312" w:cs="仿宋_GB2312"/>
          <w:color w:val="auto"/>
          <w:sz w:val="32"/>
          <w:szCs w:val="32"/>
          <w:highlight w:val="none"/>
        </w:rPr>
        <w:t>八、一般公共预算财政拨款基本支出决算表</w:t>
      </w:r>
      <w:bookmarkEnd w:id="101"/>
    </w:p>
    <w:p>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102" w:name="_Toc15396627"/>
      <w:r>
        <w:rPr>
          <w:rFonts w:hint="eastAsia" w:ascii="Times New Roman" w:hAnsi="Times New Roman" w:eastAsia="仿宋_GB2312" w:cs="仿宋_GB2312"/>
          <w:color w:val="auto"/>
          <w:sz w:val="32"/>
          <w:szCs w:val="32"/>
          <w:highlight w:val="none"/>
        </w:rPr>
        <w:t>九、一般公共预算财政拨款项目支出决算表</w:t>
      </w:r>
      <w:bookmarkEnd w:id="102"/>
    </w:p>
    <w:p>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103" w:name="_Toc15396628"/>
      <w:r>
        <w:rPr>
          <w:rFonts w:hint="eastAsia" w:ascii="Times New Roman" w:hAnsi="Times New Roman" w:eastAsia="仿宋_GB2312" w:cs="仿宋_GB2312"/>
          <w:color w:val="auto"/>
          <w:sz w:val="32"/>
          <w:szCs w:val="32"/>
          <w:highlight w:val="none"/>
        </w:rPr>
        <w:t>十、</w:t>
      </w:r>
      <w:bookmarkEnd w:id="103"/>
      <w:r>
        <w:rPr>
          <w:rFonts w:hint="eastAsia" w:ascii="Times New Roman" w:hAnsi="Times New Roman" w:eastAsia="仿宋_GB2312" w:cs="仿宋_GB2312"/>
          <w:color w:val="auto"/>
          <w:sz w:val="32"/>
          <w:szCs w:val="32"/>
          <w:highlight w:val="none"/>
        </w:rPr>
        <w:t>政府性基金预算财政拨款收入支出决算表</w:t>
      </w:r>
    </w:p>
    <w:p>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104" w:name="_Toc15396629"/>
      <w:r>
        <w:rPr>
          <w:rFonts w:hint="eastAsia" w:ascii="Times New Roman" w:hAnsi="Times New Roman" w:eastAsia="仿宋_GB2312" w:cs="仿宋_GB2312"/>
          <w:color w:val="auto"/>
          <w:sz w:val="32"/>
          <w:szCs w:val="32"/>
          <w:highlight w:val="none"/>
        </w:rPr>
        <w:t>十一、</w:t>
      </w:r>
      <w:bookmarkEnd w:id="10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105" w:name="_Toc15396630"/>
      <w:r>
        <w:rPr>
          <w:rFonts w:hint="eastAsia" w:ascii="Times New Roman" w:hAnsi="Times New Roman" w:eastAsia="仿宋_GB2312" w:cs="仿宋_GB2312"/>
          <w:color w:val="auto"/>
          <w:sz w:val="32"/>
          <w:szCs w:val="32"/>
          <w:highlight w:val="none"/>
        </w:rPr>
        <w:t>十二、</w:t>
      </w:r>
      <w:bookmarkEnd w:id="105"/>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lang w:eastAsia="zh-CN"/>
        </w:rPr>
      </w:pPr>
      <w:bookmarkStart w:id="106" w:name="_Toc15396631"/>
      <w:r>
        <w:rPr>
          <w:rFonts w:hint="eastAsia" w:ascii="Times New Roman" w:hAnsi="Times New Roman" w:eastAsia="仿宋_GB2312" w:cs="仿宋_GB2312"/>
          <w:color w:val="auto"/>
          <w:sz w:val="32"/>
          <w:szCs w:val="32"/>
          <w:highlight w:val="none"/>
        </w:rPr>
        <w:t>十三、</w:t>
      </w:r>
      <w:bookmarkEnd w:id="106"/>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7" w:type="default"/>
      <w:pgSz w:w="11906" w:h="16838"/>
      <w:pgMar w:top="1440" w:right="1474" w:bottom="1440"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
    <w:altName w:val="Mangal"/>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omic Sans MS">
    <w:panose1 w:val="030F0702030302020204"/>
    <w:charset w:val="00"/>
    <w:family w:val="auto"/>
    <w:pitch w:val="default"/>
    <w:sig w:usb0="00000287" w:usb1="00000000" w:usb2="00000000" w:usb3="00000000" w:csb0="2000009F" w:csb1="00000000"/>
  </w:font>
  <w:font w:name="Lucida Sans">
    <w:panose1 w:val="020B0602030504020204"/>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Mangal">
    <w:panose1 w:val="00000400000000000000"/>
    <w:charset w:val="00"/>
    <w:family w:val="auto"/>
    <w:pitch w:val="default"/>
    <w:sig w:usb0="00008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885729"/>
    <w:rsid w:val="3AB79AF3"/>
    <w:rsid w:val="3AE834C0"/>
    <w:rsid w:val="3B7EF35A"/>
    <w:rsid w:val="3B9FDB6C"/>
    <w:rsid w:val="3BBF3581"/>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BFAAC5E"/>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EF2562"/>
    <w:rsid w:val="73FA497D"/>
    <w:rsid w:val="744731E5"/>
    <w:rsid w:val="74BBD01D"/>
    <w:rsid w:val="74ED5379"/>
    <w:rsid w:val="75DEEEC2"/>
    <w:rsid w:val="75E32345"/>
    <w:rsid w:val="76DFE728"/>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2D89D5"/>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7FFE9A7E"/>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53FC1D2"/>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DA7E7"/>
    <w:rsid w:val="FBFF5B2E"/>
    <w:rsid w:val="FD7FFE2B"/>
    <w:rsid w:val="FDEE196B"/>
    <w:rsid w:val="FDFE6575"/>
    <w:rsid w:val="FE6F169A"/>
    <w:rsid w:val="FEDFDDC2"/>
    <w:rsid w:val="FEED32F6"/>
    <w:rsid w:val="FEF781DD"/>
    <w:rsid w:val="FF3F7E3F"/>
    <w:rsid w:val="FFBA12D7"/>
    <w:rsid w:val="FFCBD314"/>
    <w:rsid w:val="FFDFF91C"/>
    <w:rsid w:val="FFDFFAEE"/>
    <w:rsid w:val="FFEF6777"/>
    <w:rsid w:val="FFF9B57B"/>
    <w:rsid w:val="FFFD3826"/>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99"/>
    <w:pPr>
      <w:spacing w:before="100" w:beforeAutospacing="1" w:after="100" w:afterAutospacing="1"/>
      <w:ind w:left="400" w:leftChars="200" w:hanging="200" w:hangingChars="200"/>
    </w:pPr>
    <w:rPr>
      <w:rFonts w:ascii="Times New Roman" w:hAnsi="Times New Roman"/>
    </w:rPr>
  </w:style>
  <w:style w:type="paragraph" w:styleId="6">
    <w:name w:val="Body Text"/>
    <w:basedOn w:val="1"/>
    <w:next w:val="7"/>
    <w:link w:val="30"/>
    <w:qFormat/>
    <w:uiPriority w:val="99"/>
    <w:pPr>
      <w:spacing w:beforeLines="30"/>
    </w:pPr>
    <w:rPr>
      <w:rFonts w:ascii="仿宋_GB2312" w:eastAsia="仿宋_GB2312"/>
      <w:kern w:val="0"/>
      <w:sz w:val="30"/>
    </w:rPr>
  </w:style>
  <w:style w:type="paragraph" w:styleId="7">
    <w:name w:val="Plain Text"/>
    <w:basedOn w:val="1"/>
    <w:qFormat/>
    <w:uiPriority w:val="99"/>
    <w:rPr>
      <w:rFonts w:ascii="宋体" w:hAnsi="Courier New" w:cs="宋体"/>
    </w:rPr>
  </w:style>
  <w:style w:type="paragraph" w:styleId="8">
    <w:name w:val="Body Text Indent"/>
    <w:basedOn w:val="1"/>
    <w:qFormat/>
    <w:uiPriority w:val="0"/>
    <w:pPr>
      <w:spacing w:after="120"/>
      <w:ind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semiHidden/>
    <w:unhideWhenUsed/>
    <w:qFormat/>
    <w:uiPriority w:val="99"/>
    <w:rPr>
      <w:sz w:val="18"/>
      <w:szCs w:val="18"/>
    </w:rPr>
  </w:style>
  <w:style w:type="paragraph" w:styleId="11">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15"/>
    <w:semiHidden/>
    <w:qFormat/>
    <w:uiPriority w:val="0"/>
    <w:pPr>
      <w:snapToGrid w:val="0"/>
      <w:jc w:val="left"/>
    </w:pPr>
    <w:rPr>
      <w:sz w:val="18"/>
      <w:szCs w:val="18"/>
    </w:rPr>
  </w:style>
  <w:style w:type="paragraph" w:styleId="15">
    <w:name w:val="Body Text First Indent 2"/>
    <w:basedOn w:val="8"/>
    <w:unhideWhenUsed/>
    <w:qFormat/>
    <w:uiPriority w:val="99"/>
    <w:pPr>
      <w:ind w:firstLine="420" w:firstLineChars="200"/>
    </w:p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标题 1 Char"/>
    <w:basedOn w:val="18"/>
    <w:link w:val="3"/>
    <w:qFormat/>
    <w:uiPriority w:val="9"/>
    <w:rPr>
      <w:rFonts w:ascii="Times New Roman" w:hAnsi="Times New Roman"/>
      <w:b/>
      <w:bCs/>
      <w:kern w:val="44"/>
      <w:sz w:val="44"/>
      <w:szCs w:val="44"/>
    </w:rPr>
  </w:style>
  <w:style w:type="character" w:customStyle="1" w:styleId="22">
    <w:name w:val="标题 2 Char"/>
    <w:basedOn w:val="18"/>
    <w:link w:val="4"/>
    <w:qFormat/>
    <w:uiPriority w:val="9"/>
    <w:rPr>
      <w:rFonts w:asciiTheme="majorHAnsi" w:hAnsiTheme="majorHAnsi" w:eastAsiaTheme="majorEastAsia" w:cstheme="majorBidi"/>
      <w:b/>
      <w:bCs/>
      <w:kern w:val="2"/>
      <w:sz w:val="32"/>
      <w:szCs w:val="32"/>
    </w:rPr>
  </w:style>
  <w:style w:type="character" w:customStyle="1" w:styleId="23">
    <w:name w:val="标题 3 Char"/>
    <w:basedOn w:val="18"/>
    <w:link w:val="5"/>
    <w:qFormat/>
    <w:uiPriority w:val="9"/>
    <w:rPr>
      <w:rFonts w:ascii="Times New Roman" w:hAnsi="Times New Roman"/>
      <w:b/>
      <w:bCs/>
      <w:kern w:val="2"/>
      <w:sz w:val="32"/>
      <w:szCs w:val="32"/>
    </w:rPr>
  </w:style>
  <w:style w:type="paragraph" w:customStyle="1" w:styleId="24">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5">
    <w:name w:val="Header Char"/>
    <w:basedOn w:val="18"/>
    <w:semiHidden/>
    <w:qFormat/>
    <w:uiPriority w:val="99"/>
    <w:rPr>
      <w:rFonts w:ascii="Times New Roman" w:hAnsi="Times New Roman"/>
      <w:sz w:val="18"/>
      <w:szCs w:val="18"/>
    </w:rPr>
  </w:style>
  <w:style w:type="character" w:customStyle="1" w:styleId="26">
    <w:name w:val="页眉 Char"/>
    <w:link w:val="12"/>
    <w:semiHidden/>
    <w:qFormat/>
    <w:locked/>
    <w:uiPriority w:val="99"/>
    <w:rPr>
      <w:sz w:val="18"/>
    </w:rPr>
  </w:style>
  <w:style w:type="character" w:customStyle="1" w:styleId="27">
    <w:name w:val="Footer Char"/>
    <w:basedOn w:val="18"/>
    <w:semiHidden/>
    <w:qFormat/>
    <w:uiPriority w:val="99"/>
    <w:rPr>
      <w:rFonts w:ascii="Times New Roman" w:hAnsi="Times New Roman"/>
      <w:sz w:val="18"/>
      <w:szCs w:val="18"/>
    </w:rPr>
  </w:style>
  <w:style w:type="character" w:customStyle="1" w:styleId="28">
    <w:name w:val="页脚 Char"/>
    <w:link w:val="11"/>
    <w:qFormat/>
    <w:locked/>
    <w:uiPriority w:val="99"/>
    <w:rPr>
      <w:sz w:val="18"/>
    </w:rPr>
  </w:style>
  <w:style w:type="character" w:customStyle="1" w:styleId="29">
    <w:name w:val="Body Text Char"/>
    <w:basedOn w:val="18"/>
    <w:semiHidden/>
    <w:qFormat/>
    <w:uiPriority w:val="99"/>
    <w:rPr>
      <w:rFonts w:ascii="Times New Roman" w:hAnsi="Times New Roman"/>
      <w:szCs w:val="24"/>
    </w:rPr>
  </w:style>
  <w:style w:type="character" w:customStyle="1" w:styleId="30">
    <w:name w:val="正文文本 Char"/>
    <w:link w:val="6"/>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8"/>
    <w:link w:val="10"/>
    <w:semiHidden/>
    <w:qFormat/>
    <w:uiPriority w:val="99"/>
    <w:rPr>
      <w:rFonts w:ascii="Times New Roman" w:hAnsi="Times New Roman"/>
      <w:kern w:val="2"/>
      <w:sz w:val="18"/>
      <w:szCs w:val="18"/>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设计-正文"/>
    <w:basedOn w:val="1"/>
    <w:qFormat/>
    <w:uiPriority w:val="0"/>
    <w:pPr>
      <w:spacing w:line="360" w:lineRule="auto"/>
      <w:ind w:firstLine="200" w:firstLineChars="200"/>
    </w:pPr>
    <w:rPr>
      <w:sz w:val="24"/>
    </w:rPr>
  </w:style>
  <w:style w:type="paragraph" w:customStyle="1" w:styleId="38">
    <w:name w:val="列出段落1"/>
    <w:basedOn w:val="1"/>
    <w:qFormat/>
    <w:uiPriority w:val="0"/>
    <w:pPr>
      <w:ind w:firstLine="420" w:firstLineChars="200"/>
    </w:pPr>
    <w:rPr>
      <w:rFonts w:ascii="Calibri" w:hAnsi="Calibri" w:eastAsia="宋体" w:cs="Calibri"/>
      <w:sz w:val="21"/>
      <w:szCs w:val="21"/>
    </w:rPr>
  </w:style>
  <w:style w:type="paragraph" w:customStyle="1" w:styleId="39">
    <w:name w:val="WPSOffice手动目录 1"/>
    <w:qFormat/>
    <w:uiPriority w:val="0"/>
    <w:pPr>
      <w:ind w:leftChars="0"/>
    </w:pPr>
    <w:rPr>
      <w:rFonts w:asciiTheme="minorHAnsi" w:hAnsiTheme="minorHAnsi" w:eastAsiaTheme="minorEastAsia" w:cstheme="minorBidi"/>
      <w:sz w:val="20"/>
      <w:szCs w:val="20"/>
    </w:rPr>
  </w:style>
  <w:style w:type="paragraph" w:customStyle="1" w:styleId="40">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0" vertOverflow="ellipsis" vert="horz" wrap="square" anchor="ctr" anchorCtr="true"/>
          <a:lstStyle/>
          <a:p>
            <a:pPr defTabSz="914400">
              <a:defRPr lang="zh-CN" sz="1000" b="0" i="0" u="none" strike="noStrike" kern="1200" spc="0" baseline="0">
                <a:solidFill>
                  <a:schemeClr val="tx1">
                    <a:lumMod val="65000"/>
                    <a:lumOff val="35000"/>
                  </a:schemeClr>
                </a:solidFill>
                <a:latin typeface="+mn-lt"/>
                <a:ea typeface="+mn-ea"/>
                <a:cs typeface="+mn-cs"/>
              </a:defRPr>
            </a:pPr>
            <a:r>
              <a:rPr sz="1000"/>
              <a:t>图</a:t>
            </a:r>
            <a:r>
              <a:rPr lang="en-US" altLang="zh-CN" sz="1000"/>
              <a:t>1</a:t>
            </a:r>
            <a:r>
              <a:rPr altLang="en-US" sz="1000"/>
              <a:t>：收入、支出决算总计变动情况图</a:t>
            </a:r>
            <a:endParaRPr altLang="en-US" sz="1000"/>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系列 1</c:v>
                </c:pt>
              </c:strCache>
            </c:strRef>
          </c:tx>
          <c:spPr>
            <a:solidFill>
              <a:schemeClr val="accent3"/>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2024年</c:v>
                </c:pt>
                <c:pt idx="2">
                  <c:v>单位：万元</c:v>
                </c:pt>
              </c:strCache>
            </c:strRef>
          </c:cat>
          <c:val>
            <c:numRef>
              <c:f>Sheet1!$B$2:$B$4</c:f>
              <c:numCache>
                <c:formatCode>General</c:formatCode>
                <c:ptCount val="3"/>
                <c:pt idx="0">
                  <c:v>1213.65</c:v>
                </c:pt>
                <c:pt idx="1">
                  <c:v>856.47</c:v>
                </c:pt>
              </c:numCache>
            </c:numRef>
          </c:val>
        </c:ser>
        <c:dLbls>
          <c:showLegendKey val="false"/>
          <c:showVal val="true"/>
          <c:showCatName val="false"/>
          <c:showSerName val="false"/>
          <c:showPercent val="false"/>
          <c:showBubbleSize val="false"/>
        </c:dLbls>
        <c:gapWidth val="219"/>
        <c:overlap val="-27"/>
        <c:axId val="624558679"/>
        <c:axId val="276358642"/>
      </c:barChart>
      <c:catAx>
        <c:axId val="624558679"/>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76358642"/>
        <c:crosses val="autoZero"/>
        <c:auto val="true"/>
        <c:lblAlgn val="ctr"/>
        <c:lblOffset val="100"/>
        <c:noMultiLvlLbl val="false"/>
      </c:catAx>
      <c:valAx>
        <c:axId val="276358642"/>
        <c:scaling>
          <c:orientation val="minMax"/>
          <c:max val="1400"/>
          <c:min val="0"/>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24558679"/>
        <c:crosses val="autoZero"/>
        <c:crossBetween val="between"/>
        <c:majorUnit val="200"/>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000" b="0" i="0" u="none" strike="noStrike" kern="1200" spc="0" baseline="0">
                <a:solidFill>
                  <a:schemeClr val="tx1">
                    <a:lumMod val="65000"/>
                    <a:lumOff val="35000"/>
                  </a:schemeClr>
                </a:solidFill>
                <a:latin typeface="+mn-lt"/>
                <a:ea typeface="+mn-ea"/>
                <a:cs typeface="+mn-cs"/>
              </a:defRPr>
            </a:pPr>
            <a:r>
              <a:rPr sz="1000"/>
              <a:t>图</a:t>
            </a:r>
            <a:r>
              <a:rPr lang="en-US" altLang="zh-CN" sz="1000"/>
              <a:t>2</a:t>
            </a:r>
            <a:r>
              <a:rPr altLang="en-US" sz="1000"/>
              <a:t>：收入决算结构图</a:t>
            </a:r>
            <a:endParaRPr altLang="en-US" sz="1000"/>
          </a:p>
        </c:rich>
      </c:tx>
      <c:layout/>
      <c:overlay val="false"/>
      <c:spPr>
        <a:noFill/>
        <a:ln>
          <a:noFill/>
        </a:ln>
        <a:effectLst/>
      </c:spPr>
    </c:title>
    <c:autoTitleDeleted val="false"/>
    <c:plotArea>
      <c:layout/>
      <c:pieChart>
        <c:varyColors val="true"/>
        <c:ser>
          <c:idx val="0"/>
          <c:order val="0"/>
          <c:tx>
            <c:strRef>
              <c:f>Sheet1!$B$1</c:f>
              <c:strCache>
                <c:ptCount val="1"/>
                <c:pt idx="0">
                  <c:v>销售额</c:v>
                </c:pt>
              </c:strCache>
            </c:strRef>
          </c:tx>
          <c:spPr/>
          <c:explosion val="0"/>
          <c:dPt>
            <c:idx val="0"/>
            <c:bubble3D val="false"/>
            <c:spPr>
              <a:solidFill>
                <a:schemeClr val="accent2"/>
              </a:solidFill>
              <a:ln w="19050">
                <a:solidFill>
                  <a:schemeClr val="lt1"/>
                </a:solidFill>
              </a:ln>
              <a:effectLst/>
            </c:spPr>
          </c:dPt>
          <c:dLbls>
            <c:numFmt formatCode="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1213.65</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000" b="0" i="0" u="none" strike="noStrike" kern="1200" spc="0" baseline="0">
                <a:solidFill>
                  <a:schemeClr val="tx1">
                    <a:lumMod val="65000"/>
                    <a:lumOff val="35000"/>
                  </a:schemeClr>
                </a:solidFill>
                <a:latin typeface="+mn-lt"/>
                <a:ea typeface="+mn-ea"/>
                <a:cs typeface="+mn-cs"/>
              </a:defRPr>
            </a:pPr>
            <a:r>
              <a:rPr sz="1000"/>
              <a:t>图</a:t>
            </a:r>
            <a:r>
              <a:rPr lang="en-US" altLang="zh-CN" sz="1000"/>
              <a:t>3</a:t>
            </a:r>
            <a:r>
              <a:rPr altLang="en-US" sz="1000"/>
              <a:t>：支出决算结构图</a:t>
            </a:r>
            <a:endParaRPr altLang="en-US" sz="1000"/>
          </a:p>
        </c:rich>
      </c:tx>
      <c:layout/>
      <c:overlay val="false"/>
      <c:spPr>
        <a:noFill/>
        <a:ln>
          <a:noFill/>
        </a:ln>
        <a:effectLst/>
      </c:spPr>
    </c:title>
    <c:autoTitleDeleted val="false"/>
    <c:plotArea>
      <c:layout/>
      <c:pieChart>
        <c:varyColors val="true"/>
        <c:ser>
          <c:idx val="0"/>
          <c:order val="0"/>
          <c:tx>
            <c:strRef>
              <c:f>Sheet1!$B$1</c:f>
              <c:strCache>
                <c:ptCount val="1"/>
                <c:pt idx="0">
                  <c:v>销售额</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3"/>
              </a:solidFill>
              <a:ln w="19050">
                <a:solidFill>
                  <a:schemeClr val="lt1"/>
                </a:solidFill>
              </a:ln>
              <a:effectLst/>
            </c:spPr>
          </c:dPt>
          <c:dLbls>
            <c:numFmt formatCode="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695.67</c:v>
                </c:pt>
                <c:pt idx="1">
                  <c:v>160.8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0" vertOverflow="ellipsis" vert="horz" wrap="square" anchor="ctr" anchorCtr="true"/>
          <a:lstStyle/>
          <a:p>
            <a:pPr defTabSz="914400">
              <a:defRPr lang="zh-CN" sz="1000" b="0" i="0" u="none" strike="noStrike" kern="1200" spc="0" baseline="0">
                <a:solidFill>
                  <a:schemeClr val="tx1">
                    <a:lumMod val="65000"/>
                    <a:lumOff val="35000"/>
                  </a:schemeClr>
                </a:solidFill>
                <a:latin typeface="+mn-lt"/>
                <a:ea typeface="+mn-ea"/>
                <a:cs typeface="+mn-cs"/>
              </a:defRPr>
            </a:pPr>
            <a:r>
              <a:rPr sz="1000"/>
              <a:t>图</a:t>
            </a:r>
            <a:r>
              <a:rPr lang="en-US" altLang="zh-CN" sz="1000"/>
              <a:t>4</a:t>
            </a:r>
            <a:r>
              <a:rPr altLang="en-US" sz="1000"/>
              <a:t>：财政拨款收、支决算总计变动情况</a:t>
            </a:r>
            <a:endParaRPr altLang="en-US" sz="1000"/>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系列 1</c:v>
                </c:pt>
              </c:strCache>
            </c:strRef>
          </c:tx>
          <c:spPr>
            <a:solidFill>
              <a:schemeClr val="accent3"/>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2024年</c:v>
                </c:pt>
                <c:pt idx="2">
                  <c:v>单位：万元</c:v>
                </c:pt>
              </c:strCache>
            </c:strRef>
          </c:cat>
          <c:val>
            <c:numRef>
              <c:f>Sheet1!$B$2:$B$4</c:f>
              <c:numCache>
                <c:formatCode>General</c:formatCode>
                <c:ptCount val="3"/>
                <c:pt idx="0">
                  <c:v>1213.65</c:v>
                </c:pt>
                <c:pt idx="1">
                  <c:v>856.47</c:v>
                </c:pt>
              </c:numCache>
            </c:numRef>
          </c:val>
        </c:ser>
        <c:dLbls>
          <c:showLegendKey val="false"/>
          <c:showVal val="true"/>
          <c:showCatName val="false"/>
          <c:showSerName val="false"/>
          <c:showPercent val="false"/>
          <c:showBubbleSize val="false"/>
        </c:dLbls>
        <c:gapWidth val="219"/>
        <c:overlap val="-27"/>
        <c:axId val="624558679"/>
        <c:axId val="276358642"/>
      </c:barChart>
      <c:catAx>
        <c:axId val="624558679"/>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76358642"/>
        <c:crosses val="autoZero"/>
        <c:auto val="true"/>
        <c:lblAlgn val="ctr"/>
        <c:lblOffset val="100"/>
        <c:noMultiLvlLbl val="false"/>
      </c:catAx>
      <c:valAx>
        <c:axId val="276358642"/>
        <c:scaling>
          <c:orientation val="minMax"/>
          <c:max val="1400"/>
          <c:min val="0"/>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24558679"/>
        <c:crosses val="autoZero"/>
        <c:crossBetween val="between"/>
        <c:majorUnit val="200"/>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true"/>
          <a:lstStyle/>
          <a:p>
            <a:pPr defTabSz="914400">
              <a:defRPr lang="zh-CN" sz="1000" b="0" i="0" u="none" strike="noStrike" kern="1200" spc="0" baseline="0">
                <a:solidFill>
                  <a:schemeClr val="tx1">
                    <a:lumMod val="65000"/>
                    <a:lumOff val="35000"/>
                  </a:schemeClr>
                </a:solidFill>
                <a:latin typeface="+mn-ea"/>
                <a:ea typeface="+mn-ea"/>
                <a:cs typeface="+mn-ea"/>
                <a:sym typeface="+mn-ea"/>
              </a:defRPr>
            </a:pPr>
            <a:r>
              <a:rPr sz="1000">
                <a:latin typeface="+mn-ea"/>
                <a:ea typeface="+mn-ea"/>
                <a:cs typeface="+mn-ea"/>
                <a:sym typeface="+mn-ea"/>
              </a:rPr>
              <a:t>图</a:t>
            </a:r>
            <a:r>
              <a:rPr lang="en-US" altLang="zh-CN" sz="1000">
                <a:latin typeface="+mn-ea"/>
                <a:ea typeface="+mn-ea"/>
                <a:cs typeface="+mn-ea"/>
                <a:sym typeface="+mn-ea"/>
              </a:rPr>
              <a:t>5</a:t>
            </a:r>
            <a:r>
              <a:rPr altLang="en-US" sz="1000">
                <a:latin typeface="+mn-ea"/>
                <a:ea typeface="+mn-ea"/>
                <a:cs typeface="+mn-ea"/>
                <a:sym typeface="+mn-ea"/>
              </a:rPr>
              <a:t>：一般公共预算财政拨款支出决算变动情况</a:t>
            </a:r>
            <a:endParaRPr altLang="en-US" sz="1000">
              <a:latin typeface="+mn-ea"/>
              <a:ea typeface="+mn-ea"/>
              <a:cs typeface="+mn-ea"/>
              <a:sym typeface="+mn-ea"/>
            </a:endParaRPr>
          </a:p>
        </c:rich>
      </c:tx>
      <c:layout/>
      <c:overlay val="false"/>
      <c:spPr>
        <a:noFill/>
        <a:ln>
          <a:noFill/>
        </a:ln>
        <a:effectLst/>
      </c:spPr>
    </c:title>
    <c:autoTitleDeleted val="false"/>
    <c:plotArea>
      <c:layout/>
      <c:barChart>
        <c:barDir val="col"/>
        <c:grouping val="clustered"/>
        <c:varyColors val="false"/>
        <c:ser>
          <c:idx val="0"/>
          <c:order val="0"/>
          <c:tx>
            <c:strRef>
              <c:f>Sheet1!#REF!</c:f>
              <c:strCache>
                <c:ptCount val="1"/>
                <c:pt idx="0">
                  <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Sheet1!$A$1:$A$3</c:f>
              <c:strCache>
                <c:ptCount val="3"/>
                <c:pt idx="0">
                  <c:v>2023年</c:v>
                </c:pt>
                <c:pt idx="1">
                  <c:v>2024年</c:v>
                </c:pt>
                <c:pt idx="2">
                  <c:v>单位：万元</c:v>
                </c:pt>
              </c:strCache>
            </c:strRef>
          </c:cat>
          <c:val>
            <c:numRef>
              <c:f>Sheet1!$B$1:$B$3</c:f>
              <c:numCache>
                <c:formatCode>General</c:formatCode>
                <c:ptCount val="3"/>
                <c:pt idx="0">
                  <c:v>1213.65</c:v>
                </c:pt>
                <c:pt idx="1">
                  <c:v>856.47</c:v>
                </c:pt>
              </c:numCache>
            </c:numRef>
          </c:val>
        </c:ser>
        <c:dLbls>
          <c:showLegendKey val="false"/>
          <c:showVal val="true"/>
          <c:showCatName val="false"/>
          <c:showSerName val="false"/>
          <c:showPercent val="false"/>
          <c:showBubbleSize val="false"/>
        </c:dLbls>
        <c:gapWidth val="219"/>
        <c:overlap val="-27"/>
        <c:axId val="880020952"/>
        <c:axId val="908582063"/>
      </c:barChart>
      <c:catAx>
        <c:axId val="880020952"/>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08582063"/>
        <c:crosses val="autoZero"/>
        <c:auto val="true"/>
        <c:lblAlgn val="ctr"/>
        <c:lblOffset val="100"/>
        <c:noMultiLvlLbl val="false"/>
      </c:catAx>
      <c:valAx>
        <c:axId val="908582063"/>
        <c:scaling>
          <c:orientation val="minMax"/>
          <c:max val="1400"/>
          <c:min val="0"/>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80020952"/>
        <c:crosses val="autoZero"/>
        <c:crossBetween val="between"/>
        <c:majorUnit val="200"/>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000" b="0" i="0" u="none" strike="noStrike" kern="1200" spc="0" baseline="0">
                <a:solidFill>
                  <a:schemeClr val="tx1">
                    <a:lumMod val="65000"/>
                    <a:lumOff val="35000"/>
                  </a:schemeClr>
                </a:solidFill>
                <a:latin typeface="+mn-ea"/>
                <a:ea typeface="+mn-ea"/>
                <a:cs typeface="+mn-ea"/>
                <a:sym typeface="+mn-ea"/>
              </a:defRPr>
            </a:pPr>
            <a:r>
              <a:rPr sz="1000">
                <a:latin typeface="+mn-ea"/>
                <a:ea typeface="+mn-ea"/>
                <a:cs typeface="+mn-ea"/>
                <a:sym typeface="+mn-ea"/>
              </a:rPr>
              <a:t>图</a:t>
            </a:r>
            <a:r>
              <a:rPr lang="en-US" altLang="zh-CN" sz="1000">
                <a:latin typeface="+mn-ea"/>
                <a:ea typeface="+mn-ea"/>
                <a:cs typeface="+mn-ea"/>
                <a:sym typeface="+mn-ea"/>
              </a:rPr>
              <a:t>6</a:t>
            </a:r>
            <a:r>
              <a:rPr altLang="en-US" sz="1000">
                <a:latin typeface="+mn-ea"/>
                <a:ea typeface="+mn-ea"/>
                <a:cs typeface="+mn-ea"/>
                <a:sym typeface="+mn-ea"/>
              </a:rPr>
              <a:t>：一般公共预算财政拨款支出决算结构</a:t>
            </a:r>
            <a:endParaRPr altLang="en-US" sz="1000">
              <a:latin typeface="+mn-ea"/>
              <a:ea typeface="+mn-ea"/>
              <a:cs typeface="+mn-ea"/>
              <a:sym typeface="+mn-ea"/>
            </a:endParaRPr>
          </a:p>
        </c:rich>
      </c:tx>
      <c:layout/>
      <c:overlay val="false"/>
      <c:spPr>
        <a:noFill/>
        <a:ln>
          <a:noFill/>
        </a:ln>
        <a:effectLst/>
      </c:spPr>
    </c:title>
    <c:autoTitleDeleted val="false"/>
    <c:plotArea>
      <c:layout/>
      <c:pieChart>
        <c:varyColors val="true"/>
        <c:ser>
          <c:idx val="0"/>
          <c:order val="0"/>
          <c:tx>
            <c:strRef>
              <c:f>Sheet1!$B$1</c:f>
              <c:strCache>
                <c:ptCount val="1"/>
                <c:pt idx="0">
                  <c:v>销售额</c:v>
                </c:pt>
              </c:strCache>
            </c:strRef>
          </c:tx>
          <c:spPr/>
          <c:explosion val="0"/>
          <c:dPt>
            <c:idx val="0"/>
            <c:bubble3D val="false"/>
            <c:explosion val="1"/>
            <c:spPr>
              <a:solidFill>
                <a:schemeClr val="accent6"/>
              </a:solidFill>
              <a:ln w="19050">
                <a:solidFill>
                  <a:schemeClr val="lt1"/>
                </a:solidFill>
              </a:ln>
              <a:effectLst/>
            </c:spPr>
          </c:dPt>
          <c:dPt>
            <c:idx val="1"/>
            <c:bubble3D val="false"/>
            <c:spPr>
              <a:solidFill>
                <a:schemeClr val="accent5"/>
              </a:solidFill>
              <a:ln w="19050">
                <a:solidFill>
                  <a:schemeClr val="lt1"/>
                </a:solidFill>
              </a:ln>
              <a:effectLst/>
            </c:spPr>
          </c:dPt>
          <c:dPt>
            <c:idx val="2"/>
            <c:bubble3D val="false"/>
            <c:spPr>
              <a:solidFill>
                <a:schemeClr val="accent4"/>
              </a:solidFill>
              <a:ln w="19050">
                <a:solidFill>
                  <a:schemeClr val="lt1"/>
                </a:solidFill>
              </a:ln>
              <a:effectLst/>
            </c:spPr>
          </c:dPt>
          <c:dPt>
            <c:idx val="3"/>
            <c:bubble3D val="false"/>
            <c:spPr>
              <a:solidFill>
                <a:schemeClr val="accent6">
                  <a:lumMod val="60000"/>
                </a:schemeClr>
              </a:solidFill>
              <a:ln w="19050">
                <a:solidFill>
                  <a:schemeClr val="lt1"/>
                </a:solidFill>
              </a:ln>
              <a:effectLst/>
            </c:spPr>
          </c:dPt>
          <c:dLbls>
            <c:dLbl>
              <c:idx val="1"/>
              <c:layout>
                <c:manualLayout>
                  <c:x val="-0.107367402869579"/>
                  <c:y val="0.103705752212389"/>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2"/>
              <c:layout>
                <c:manualLayout>
                  <c:x val="-0.0706109946799936"/>
                  <c:y val="0"/>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3"/>
              <c:layout>
                <c:manualLayout>
                  <c:x val="0.131065613412865"/>
                  <c:y val="0"/>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numFmt formatCode="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715.83</c:v>
                </c:pt>
                <c:pt idx="1">
                  <c:v>74.62</c:v>
                </c:pt>
                <c:pt idx="2">
                  <c:v>18.65</c:v>
                </c:pt>
                <c:pt idx="3">
                  <c:v>47.37</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000" b="0" i="0" u="none" strike="noStrike" kern="1200" spc="0" baseline="0">
                <a:solidFill>
                  <a:schemeClr val="tx1">
                    <a:lumMod val="65000"/>
                    <a:lumOff val="35000"/>
                  </a:schemeClr>
                </a:solidFill>
                <a:latin typeface="+mn-lt"/>
                <a:ea typeface="+mn-ea"/>
                <a:cs typeface="+mn-cs"/>
              </a:defRPr>
            </a:pPr>
            <a:r>
              <a:rPr sz="1000"/>
              <a:t>图</a:t>
            </a:r>
            <a:r>
              <a:rPr lang="en-US" altLang="zh-CN" sz="1000"/>
              <a:t>7</a:t>
            </a:r>
            <a:r>
              <a:rPr altLang="en-US" sz="1000"/>
              <a:t>：“三公”经费财政拨款支出结构</a:t>
            </a:r>
            <a:endParaRPr altLang="en-US" sz="1000"/>
          </a:p>
        </c:rich>
      </c:tx>
      <c:layout/>
      <c:overlay val="false"/>
      <c:spPr>
        <a:noFill/>
        <a:ln>
          <a:noFill/>
        </a:ln>
        <a:effectLst/>
      </c:spPr>
    </c:title>
    <c:autoTitleDeleted val="false"/>
    <c:plotArea>
      <c:layout/>
      <c:pieChart>
        <c:varyColors val="true"/>
        <c:ser>
          <c:idx val="0"/>
          <c:order val="0"/>
          <c:tx>
            <c:strRef>
              <c:f>Sheet1!$B$1</c:f>
              <c:strCache>
                <c:ptCount val="1"/>
                <c:pt idx="0">
                  <c:v>销售额</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numFmt formatCode="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c:v>
                </c:pt>
                <c:pt idx="1">
                  <c:v>公务接待费</c:v>
                </c:pt>
              </c:strCache>
            </c:strRef>
          </c:cat>
          <c:val>
            <c:numRef>
              <c:f>Sheet1!$B$2:$B$3</c:f>
              <c:numCache>
                <c:formatCode>General</c:formatCode>
                <c:ptCount val="2"/>
                <c:pt idx="0">
                  <c:v>2.2</c:v>
                </c:pt>
                <c:pt idx="1">
                  <c:v>0.53</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11005</Words>
  <Characters>11849</Characters>
  <Lines>61</Lines>
  <Paragraphs>17</Paragraphs>
  <TotalTime>5</TotalTime>
  <ScaleCrop>false</ScaleCrop>
  <LinksUpToDate>false</LinksUpToDate>
  <CharactersWithSpaces>11930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2020-08-10T01:49:00Z</dcterms:created>
  <dc:creator>曹颖</dc:creator>
  <cp:lastModifiedBy> </cp:lastModifiedBy>
  <cp:lastPrinted>2025-09-12T01:06:00Z</cp:lastPrinted>
  <dcterms:modified xsi:type="dcterms:W3CDTF">2025-09-23T20:02:47Z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04787F2533EB45DC91BCDE4AB213247F</vt:lpwstr>
  </property>
  <property fmtid="{D5CDD505-2E9C-101B-9397-08002B2CF9AE}" pid="4" name="KSOTemplateDocerSaveRecord">
    <vt:lpwstr>eyJoZGlkIjoiYTc2ZGZiNzZiNDVlOGViOWVmM2JhOTY0NGJkNjUyYzgiLCJ1c2VySWQiOiIyMjA2OTAwNTAifQ==</vt:lpwstr>
  </property>
</Properties>
</file>